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高度被打断，冰点里只剩试错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0.054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4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26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1.62 万亿 · 涨停 55 / 跌停 25 · 炸板率 31.2%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高度被打断，冰点里只剩试错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最高板从6板直接压到4板，涨停55家但跌停25家，炸板率31.25%。这不是退潮结束，是冰点里的局部试错。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1.62 万亿，涨停 55 / 跌停 25，炸板率 31.2%，赚钱效应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4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上海九百；高度已打开；传统金融 +1.63%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25.3%、量化 24.6%、游资+散户 28.4%；最高净买 万向钱潮 +2.87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高度：4 板能否进 5；广度：涨停能否回到 60 家；资金：万向钱潮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2026-10-23 的判断与 2026-10-26 的实际结果；昨日状态为「启动」。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最高板不低于 6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6 板 变为 4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涨停家数不低于 84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55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84 家 变为 55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炸板率不高于 16.0%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31.2%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16.0% 变为 31.2%，方向相反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6 板，今日 4 板，落在剧本 A（断板退潮）。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6 个连续交易日：命中 7 次、未命中 11 次、无法判定 0 次，命中率 38.9%。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50.0%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1.62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指数分化（上证 +0.19%、创业板 -1.71%），但全市场 </w:t>
      </w:r>
      <w:r>
        <w:rPr>
          <w:rFonts w:ascii="Arial" w:hAnsi="Arial" w:eastAsia="微软雅黑"/>
          <w:b/>
          <w:color w:val="D93A2B"/>
          <w:sz w:val="21"/>
        </w:rPr>
        <w:t>3156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2252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41.6%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0.054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-0.070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0.271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55 家、跌停 25 家、炸板 25 家，炸板率 31.2%；昨日涨停股今日平均只有 +2.49%，其中 9 家跌超 5%、4 家跌超 9%。晋级率 53.8%，昨日 84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，上证微涨0.19%，创业板跌1.71%，科创50跌2.23%。涨停55家，跌停25家，炸板率31.25%，最高板仅4板。昨日6板海洋王断板，高位股集体走弱，亏钱效应明显。情绪状态为冰点，ETI仅0.0539，冷区未脱离。盘面呈现典型冰点特征：高度被压制，接力意愿弱，资金转向低位试错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南方路机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603280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(+3.35%，自最高回落 6.1%)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鸣志电器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603728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(-6.66%，自最高回落 5.0%)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睿能科技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603933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23.03 / 收 20.37 (-2.72%，自最高回落 11.6%)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趋势股大跌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000530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近10日涨幅榜前10 → 今日大跌 (-9.97%)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慈文传媒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002343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今日重挫 (-10.01%)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002724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6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昨日6板 → 今日断板 (-3.49%，自最高回落 0.5%)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2 只高位断板但收盘收红（大业股份 +8.08%、兆威机电 +4.94%），属于分歧转一致，未计入亏钱效应。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海洋王：昨日6板 → 今日断板 (-3.49%，自最高回落 0.5%)；南方路机：昨日2板 → 今日断板 (+3.35%，自最高回落 6.1%)；鸣志电器：昨日2板 → 今日断板 (-6.66%，自最高回落 5.0%)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二、主线拆解：传统金融领涨，新消费跟随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主线不明朗，题材快速轮动。传统金融、新消费、大模型逆势收红，但涨幅有限；AI应用、机器人、储能、锂电池等前期热门方向集体调整。连板梯队中，3板股多达6只，但题材分散，缺乏合力。上海九百作为连板龙头仅4板，未能打开高度。总龙头凡拓数创虽涨10.43%，但属于趋势股，对情绪带动有限。整体看，市场处于冰点后的试错阶段，尚未形成明确主线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10：传统金融 +1.63%领涨，新消费 +0.86%次之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野村证券称存储芯片短缺将持续至2028年，AI资本开支韧性仍强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10-25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+1.63%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邮储银行拟于10月30日披露三季报并召开业绩说明会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10-25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+1.63%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平安银行发布2026年三季报 营业收入1031亿元 净利润391.86亿元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10-24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+1.63%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新消费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新消费 +0.86%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大模型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柳钢与华为商用玄铁钢铁大模型，三年目标智能化覆盖超80%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10-24 · SMM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大模型 +0.50%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大模型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信通院报告：大模型价格回升明显，词元价格较去年下半年翻倍，日均消耗量增长3倍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10-24 · 36氪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大模型 +0.50%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2,577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+7.69%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天娱数科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AI应用再度突起，游戏板块表现强势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3,278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+1.49%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大业股份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松下控股提前一年启动玻璃基钙钛矿太阳能电池板全面量产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埃斯顿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2,577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+4.83%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2,577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万向钱潮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锂电隔膜第一股，净利润预增2180%！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锂电池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德明利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存储芯片将变红海？黄仁勋：不大可能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672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-3.38%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凡拓数创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2,577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+10.43%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多伦科技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未来车辆将被强制安装C-V2X？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193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+9.95%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计算机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人气最集中的事件是「机构：物理AI加速落地，全产业链受益」，共 4 只人气榜个股指向同一条逻辑，说明注意力不是分散在多个题材，而是压在单一催化上。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当前属于冰点后的试错阶段，而非启动。最高板被压制在4板，昨日6板海洋王断板，高位股亏钱效应显著。涨停家数虽多，但跌停和炸板率偏高，接力成功率低。题材轮动快，缺乏持续性。这种状态下，资金更倾向于低位首板或趋势股，而非高位接力。启动需要等待高度打开和亏钱效应收敛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上海九百4板领涨，襄阳轴承、多伦科技、华阳智能等3板股活跃，但龙虎榜净卖出居多。资金结构上，机构占比25.32%，量化占比24.62%，游资+散户占比28.44%，情绪交易侧合计53.06%。量化活跃度提升，但净卖出明显，显示交易型资金在撤退。机构占比虽较20日均值提升，但未确认主导。整体看，资金结构偏向情绪交易，但情绪交易侧内部出现分化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600838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新零售 / 央国企改革 / 内贸流通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000678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-0.46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湖北自贸 / 新能源车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多伦科技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603528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+9.95%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华为昇腾 / 车联网(车路云) / 新能源车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华阳智能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301502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-0.38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智能家居 / 医疗器械概念 / 养老概念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正裕工业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603089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传感器 / 新能源车 / 机器人概念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赛福天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603028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+9.95%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工程机械概念 / 知识产权 / 海工装备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2026-10-25 23:45 采集 → 2026-10-26 A股）：AI应用 美股+1.41% / A股-0.43%、芯片材料 美股+0.90% / A股-3.90%、PCB 美股+0.88% / A股-6.80%。海外板块只提供方向参考，A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全球共振与本土情绪未出现明显背离。全球科技核心指数下跌，A股科技核心指数同步走弱，但本土情绪处于冰点，连板高度仅4板。这种同步下跌下，外盘逻辑不能直接套用，本土情绪修复需要自身高度打开。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4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今日总龙头：凡拓数创（5 日 +74.0%、10 日 +134.1%、换手 41.1%、成交 22.0 亿、0 板）；连板龙头：上海九百（4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40 家、2 板 8 家、4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上海九百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襄阳轴承、林州重机、华阳智能、赛福天、正裕工业、多伦科技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8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万向钱潮、模塑科技、创维数字、锋龙股份、大名城、杰克科技、永创智能、福莱新材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3，传统金融方向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40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上纬新材、百洋股份、上海洗霸、晶华新材、光洋股份、海量数据、三羊马、达瑞电子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上海九百 独自站在 4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8.68%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4.20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无上榜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新零售 / 央国企改革 / 内贸流通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从6板骤降至4板，海洋王断板，高位股集体走弱。3板股多达6只，但题材分散，襄阳轴承、林州重机、华阳智能等各自为战，缺乏板块合力。2板股8只，首板40只，梯队结构尚存，但晋级率仅53.85%，炸板率31.25%，接力风险大。连板龙头上海九百4板，但换手和人气不足，难以引领情绪。整体看，连板生态处于退潮后的修复初期，高度受限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+2.31%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四、资金拆解：万向钱潮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显示，游资净买入7.66亿，机构净买入1.95亿，北向净买入5.07亿，但量化净卖出19.6亿。万向钱潮获游资和北向合力买入，净买入2.87亿，但机构席位净卖出0.65亿。上纬新材获机构净买入1.72亿。整体看，资金分歧较大，游资活跃但量化撤退，机构参与度有限。高位股龙虎榜净卖出居多，如襄阳轴承、林州重机、华阳智能均遭净卖出，显示资金对高位接力谨慎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万向钱潮龙虎榜：席位买卖结构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+5.67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13.60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7.93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国泰海通证券湛江万豪世家营业部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中信建投证券安徽分公司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+1.72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1.72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+1.45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1.45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国泰海通证券上海长宁区江苏路营…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+0.98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0.98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万向钱潮龙虎榜席位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73.35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25.3%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+1.95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48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71.33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-19.60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69.34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+7.66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69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13.04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+3.15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62.61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+5.07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34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25.3%，量化 24.6%，游资 + 散户 28.4%；把量化归入交易型资金后，交易/情绪资金合计 53.1%。龙虎榜口径下由「量化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当前结构状态：量化活跃。机构 25.3%、量化 29.0%、游资 25.1%、散户 4.6%。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-12.1pct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-0.7pct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25.3%，较20日均值 +2.8pct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25.1%，较20日均值 +0.8pct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29.0%，较5日均值 +8.1pct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+12.35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华泰证券深圳彩田路营业部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+11.19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+10.64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深股通专用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+9.57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国泰海通证券湛江万豪世家营业部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+7.52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联储证券杭州环城北路营业部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+3.65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3.65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+3.32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51.00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47.68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+2.92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3.66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东莞证券南京分公司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+2.67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2.67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国泰海通证券上海静安区新闸路营…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+2.51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6.66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4.15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华泰证券上海武定路营业部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+2.49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2.50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10：万向钱潮 +2.87 亿、上纬新材 +1.72 亿、创维数字 +1.20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0%。ETI 0.054、ETPI 0.207、LI 0.271；情绪温度、周期动能同时走弱。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0.054，处于冰点区间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55 家、跌停 25 家，炸板率 31.2%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明日最高板无法突破4板，或上海九百断板，跌停家数继续增加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退潮延续，高位股继续核按钮，涨停家数萎缩，炸板率上升，亏钱效应扩散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观察连板梯队是否断层，首板晋级率是否进一步下降，避免接力高位股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B｜弱势修复：5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上海九百晋级5板，或3板股中走出强势晋级，涨停家数明显回升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弱势修复，高度打开一档，核心股红盘，炸板率下降，情绪回暖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关注连板龙头能否带动板块，观察3板股晋级情况，可试错低位补涨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C｜混沌震荡：4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最高板维持4板，涨停家数窄幅波动，题材快速轮动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混沌震荡，指数与情绪背离，资金无序切换，缺乏持续性主线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控制仓位，等待方向明确，关注低位首板或趋势股的低吸机会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凡拓数创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+74.0%、换手 41.1%：能否继续领涨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4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进 5：能否高开换手封板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万向钱潮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+2.87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宇树科技-W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4：能否补位连板龙头（4 板）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55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25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31.2%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1.62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万向钱潮溢价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冰点不是反转，冰点只代表亏钱效应已经扩散。高度被打断后，要么等修复，要么继续退潮，别在混沌里赌方向。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高度被打断，冰点里只剩试错 · 2026-10-26 复盘</dc:title>
  <dc:subject>冰点 · 最高 4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