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638"/>
      </w:tblGrid>
      <w:tr>
        <w:trPr>
          <w:trHeight w:val="13323" w:hRule="exact"/>
        </w:trPr>
        <w:tc>
          <w:tcPr>
            <w:tcW w:type="dxa" w:w="9638"/>
            <w:shd w:val="clear" w:color="auto" w:fill="0B1020"/>
            <w:vAlign w:val="center"/>
          </w:tcPr>
          <w:p>
            <w:pPr>
              <w:spacing w:before="2400"/>
              <w:jc w:val="center"/>
            </w:pPr>
            <w:r/>
            <w:r>
              <w:rPr>
                <w:rFonts w:ascii="Arial" w:hAnsi="Arial" w:eastAsia="微软雅黑"/>
                <w:color w:val="BFDBFE"/>
                <w:sz w:val="24"/>
              </w:rPr>
              <w:t>产棱 IndPrism · 每日复盘</w:t>
              <w:br/>
            </w:r>
          </w:p>
          <w:p>
            <w:pPr>
              <w:spacing w:before="440"/>
              <w:jc w:val="center"/>
            </w:pPr>
            <w:r>
              <w:rPr>
                <w:rFonts w:ascii="Arial" w:hAnsi="Arial" w:eastAsia="微软雅黑"/>
                <w:b/>
                <w:color w:val="F9FAFB"/>
                <w:sz w:val="48"/>
              </w:rPr>
              <w:t>高度升到六板，启动里先看承接</w:t>
            </w:r>
          </w:p>
          <w:p>
            <w:pPr>
              <w:spacing w:before="360"/>
              <w:jc w:val="center"/>
            </w:pPr>
            <w:r>
              <w:rPr>
                <w:rFonts w:ascii="Arial" w:hAnsi="Arial" w:eastAsia="微软雅黑"/>
                <w:b/>
                <w:color w:val="8AB4FF"/>
                <w:sz w:val="88"/>
              </w:rPr>
              <w:t>启动</w:t>
            </w:r>
          </w:p>
          <w:p>
            <w:pPr>
              <w:jc w:val="center"/>
            </w:pPr>
            <w:r>
              <w:rPr>
                <w:rFonts w:ascii="Arial" w:hAnsi="Arial" w:eastAsia="微软雅黑"/>
                <w:b/>
                <w:color w:val="FFFFFF"/>
                <w:sz w:val="60"/>
              </w:rPr>
              <w:t>0.171</w:t>
            </w:r>
          </w:p>
          <w:p>
            <w:pPr>
              <w:spacing w:before="320"/>
              <w:jc w:val="center"/>
            </w:pPr>
            <w:r>
              <w:rPr>
                <w:rFonts w:ascii="Arial" w:hAnsi="Arial" w:eastAsia="微软雅黑"/>
                <w:b/>
                <w:color w:val="F9FAFB"/>
                <w:sz w:val="30"/>
              </w:rPr>
              <w:t>主线进行中 · 最高 6 板 · 等待确认</w:t>
            </w:r>
          </w:p>
          <w:p>
            <w:pPr>
              <w:spacing w:before="1200"/>
              <w:jc w:val="center"/>
            </w:pPr>
            <w:r>
              <w:rPr>
                <w:rFonts w:ascii="Arial" w:hAnsi="Arial" w:eastAsia="微软雅黑"/>
                <w:color w:val="9CA3AF"/>
                <w:sz w:val="26"/>
              </w:rPr>
              <w:t>2026 年 11 月 02 日</w:t>
              <w:br/>
            </w:r>
            <w:r>
              <w:rPr>
                <w:rFonts w:ascii="Arial" w:hAnsi="Arial" w:eastAsia="微软雅黑"/>
                <w:color w:val="6B7280"/>
                <w:sz w:val="20"/>
              </w:rPr>
              <w:t>成交 1.79 万亿 · 涨停 124 / 跌停 9 · 炸板率 20.5%</w:t>
            </w:r>
            <w:r>
              <w:rPr>
                <w:rFonts w:ascii="Arial" w:hAnsi="Arial" w:eastAsia="微软雅黑"/>
                <w:color w:val="6B7280"/>
                <w:sz w:val="18"/>
              </w:rPr>
              <w:br/>
              <w:t>收盘初版 · 情绪标签取 15:20 快照</w:t>
            </w:r>
          </w:p>
        </w:tc>
      </w:tr>
    </w:tbl>
    <w:p>
      <w:r>
        <w:br w:type="page"/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执行摘要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11827"/>
          <w:sz w:val="26"/>
        </w:rPr>
        <w:t>高度升到六板，启动里先看承接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5F3FF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4C1D95"/>
                <w:sz w:val="21"/>
              </w:rPr>
              <w:t>一句话复盘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涨停124家、最高板6板，情绪温度单日抬升0.1344，但炸板率仍达20.51%。不是全面反转，而是冰点后的启动试错。</w:t>
            </w:r>
          </w:p>
        </w:tc>
      </w:tr>
    </w:tbl>
    <w:p>
      <w:pPr>
        <w:spacing w:after="4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020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维度</w:t>
            </w:r>
          </w:p>
        </w:tc>
        <w:tc>
          <w:tcPr>
            <w:tcW w:type="dxa" w:w="238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结论</w:t>
            </w:r>
          </w:p>
        </w:tc>
        <w:tc>
          <w:tcPr>
            <w:tcW w:type="dxa" w:w="6009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依据</w:t>
            </w:r>
          </w:p>
        </w:tc>
      </w:tr>
      <w:tr>
        <w:tc>
          <w:tcPr>
            <w:tcW w:type="dxa" w:w="1020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盘面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启动</w:t>
            </w:r>
          </w:p>
        </w:tc>
        <w:tc>
          <w:tcPr>
            <w:tcW w:type="dxa" w:w="600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成交 1.79 万亿，涨停 124 / 跌停 9，炸板率 20.5%，赚钱效应 RI 0.400</w:t>
            </w:r>
          </w:p>
        </w:tc>
      </w:tr>
      <w:tr>
        <w:tc>
          <w:tcPr>
            <w:tcW w:type="dxa" w:w="1020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结构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最高 6 板</w:t>
            </w:r>
          </w:p>
        </w:tc>
        <w:tc>
          <w:tcPr>
            <w:tcW w:type="dxa" w:w="600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青岛食品；高度已打开；金融科技 +9.74% 领涨</w:t>
            </w:r>
          </w:p>
        </w:tc>
      </w:tr>
      <w:tr>
        <w:tc>
          <w:tcPr>
            <w:tcW w:type="dxa" w:w="1020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资金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量化 + 游资 + 散户（交易型资金）占优</w:t>
            </w:r>
          </w:p>
        </w:tc>
        <w:tc>
          <w:tcPr>
            <w:tcW w:type="dxa" w:w="600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龙虎榜机构 34.5%、量化 11.7%、游资+散户 34.4%；最高净买 捷成股份 +3.31 亿</w:t>
            </w:r>
          </w:p>
        </w:tc>
      </w:tr>
      <w:tr>
        <w:tc>
          <w:tcPr>
            <w:tcW w:type="dxa" w:w="1020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验证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明日三看</w:t>
            </w:r>
          </w:p>
        </w:tc>
        <w:tc>
          <w:tcPr>
            <w:tcW w:type="dxa" w:w="600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高度：6 板能否进 7；广度：涨停能否回到 60 家；资金：捷成股份 溢价是否为正</w:t>
            </w:r>
          </w:p>
        </w:tc>
      </w:tr>
    </w:tbl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执行摘要由当日数据自动生成，详细推演见正文各章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本报告结构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一、盘面定性：情绪坐标、赚钱效应与亏钱效应明细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二、主线拆解：强势方向、催化事件、人气 × 事件 × 价格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三、连板身位：梯队分布、最高板接力、断层位置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四、资金拆解：龙虎榜结构、20 日趋势、持续席位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五、情绪引擎：状态、指标与周期标签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六、明日交易剧本：三套状态推演与验证仪表盘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七、免责声明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昨日观点验证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19"/>
        </w:rPr>
        <w:t>对比 2026-10-30 的判断与 2026-11-02 的实际结果；昨日状态为「冰点」。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类别</w:t>
            </w:r>
          </w:p>
        </w:tc>
        <w:tc>
          <w:tcPr>
            <w:tcW w:type="dxa" w:w="3288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昨日判断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今日实际</w:t>
            </w:r>
          </w:p>
        </w:tc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结果</w:t>
            </w:r>
          </w:p>
        </w:tc>
        <w:tc>
          <w:tcPr>
            <w:tcW w:type="dxa" w:w="3742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说明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高度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最高板不高于 5 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 板</w:t>
            </w:r>
          </w:p>
        </w:tc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未命中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由 5 板 变为 6 板，方向相反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赚钱效应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涨停家数不高于 47 家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124 家</w:t>
            </w:r>
          </w:p>
        </w:tc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未命中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由 47 家 变为 124 家，方向相反</w:t>
            </w:r>
          </w:p>
        </w:tc>
      </w:tr>
      <w:tr>
        <w:tc>
          <w:tcPr>
            <w:tcW w:type="dxa" w:w="136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风险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炸板率不低于 40.5%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20.5%</w:t>
            </w:r>
          </w:p>
        </w:tc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未命中</w:t>
            </w:r>
          </w:p>
        </w:tc>
        <w:tc>
          <w:tcPr>
            <w:tcW w:type="dxa" w:w="374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由 40.5% 变为 20.5%，方向相反</w:t>
            </w:r>
          </w:p>
        </w:tc>
      </w:tr>
    </w:tbl>
    <w:p>
      <w:pPr>
        <w:spacing w:after="120" w:line="360" w:lineRule="auto"/>
      </w:pPr>
      <w:r>
        <w:rPr>
          <w:rFonts w:ascii="Arial" w:hAnsi="Arial" w:eastAsia="微软雅黑"/>
          <w:b w:val="0"/>
          <w:color w:val="4B5563"/>
          <w:sz w:val="18"/>
        </w:rPr>
        <w:t>昨日剧本基准 5 板，今日 6 板，落在剧本 B（高度打开）。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19"/>
        </w:rPr>
        <w:t>近 11 个连续交易日：命中 12 次、未命中 21 次、无法判定 0 次，命中率 36.4%。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类别</w:t>
            </w:r>
          </w:p>
        </w:tc>
        <w:tc>
          <w:tcPr>
            <w:tcW w:type="dxa" w:w="147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命中</w:t>
            </w:r>
          </w:p>
        </w:tc>
        <w:tc>
          <w:tcPr>
            <w:tcW w:type="dxa" w:w="147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未命中</w:t>
            </w:r>
          </w:p>
        </w:tc>
        <w:tc>
          <w:tcPr>
            <w:tcW w:type="dxa" w:w="158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无法判定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命中率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高度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8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27.3%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赚钱效应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8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27.3%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风险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54.5%</w:t>
            </w:r>
          </w:p>
        </w:tc>
      </w:tr>
    </w:tbl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判断阈值在生成当日锁定，次日只做客观比对；无法判定单独计数，不计入命中率</w:t>
      </w:r>
    </w:p>
    <w:p>
      <w:r>
        <w:br w:type="page"/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一、盘面定性：启动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 xml:space="preserve">成交额只有 </w:t>
      </w:r>
      <w:r>
        <w:rPr>
          <w:rFonts w:ascii="Arial" w:hAnsi="Arial" w:eastAsia="微软雅黑"/>
          <w:b/>
          <w:color w:val="111827"/>
          <w:sz w:val="21"/>
        </w:rPr>
        <w:t>1.79 万亿</w:t>
      </w:r>
      <w:r>
        <w:rPr>
          <w:rFonts w:ascii="Arial" w:hAnsi="Arial" w:eastAsia="微软雅黑"/>
          <w:b w:val="0"/>
          <w:color w:val="374151"/>
          <w:sz w:val="21"/>
        </w:rPr>
        <w:t>。</w:t>
      </w:r>
      <w:r>
        <w:rPr>
          <w:rFonts w:ascii="Arial" w:hAnsi="Arial" w:eastAsia="微软雅黑"/>
          <w:b w:val="0"/>
          <w:color w:val="374151"/>
          <w:sz w:val="21"/>
        </w:rPr>
        <w:t xml:space="preserve">指数普涨（上证 +1.08%、创业板 +1.87%），全市场 </w:t>
      </w:r>
      <w:r>
        <w:rPr>
          <w:rFonts w:ascii="Arial" w:hAnsi="Arial" w:eastAsia="微软雅黑"/>
          <w:b/>
          <w:color w:val="D93A2B"/>
          <w:sz w:val="21"/>
        </w:rPr>
        <w:t>818 家下跌</w:t>
      </w:r>
      <w:r>
        <w:rPr>
          <w:rFonts w:ascii="Arial" w:hAnsi="Arial" w:eastAsia="微软雅黑"/>
          <w:b w:val="0"/>
          <w:color w:val="374151"/>
          <w:sz w:val="21"/>
        </w:rPr>
        <w:t xml:space="preserve">、仅 </w:t>
      </w:r>
      <w:r>
        <w:rPr>
          <w:rFonts w:ascii="Arial" w:hAnsi="Arial" w:eastAsia="微软雅黑"/>
          <w:b/>
          <w:color w:val="D93A2B"/>
          <w:sz w:val="21"/>
        </w:rPr>
        <w:t>4680 家上涨</w:t>
      </w:r>
      <w:r>
        <w:rPr>
          <w:rFonts w:ascii="Arial" w:hAnsi="Arial" w:eastAsia="微软雅黑"/>
          <w:b w:val="0"/>
          <w:color w:val="374151"/>
          <w:sz w:val="21"/>
        </w:rPr>
        <w:t xml:space="preserve">，上涨占比 </w:t>
      </w:r>
      <w:r>
        <w:rPr>
          <w:rFonts w:ascii="Arial" w:hAnsi="Arial" w:eastAsia="微软雅黑"/>
          <w:b/>
          <w:color w:val="D93A2B"/>
          <w:sz w:val="21"/>
        </w:rPr>
        <w:t>85.1%</w:t>
      </w:r>
      <w:r>
        <w:rPr>
          <w:rFonts w:ascii="Arial" w:hAnsi="Arial" w:eastAsia="微软雅黑"/>
          <w:b w:val="0"/>
          <w:color w:val="374151"/>
          <w:sz w:val="21"/>
        </w:rPr>
        <w:t>。这是典型的个股普涨。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 xml:space="preserve">情绪温度 ETI </w:t>
      </w:r>
      <w:r>
        <w:rPr>
          <w:rFonts w:ascii="Arial" w:hAnsi="Arial" w:eastAsia="微软雅黑"/>
          <w:b w:val="0"/>
          <w:color w:val="374151"/>
          <w:sz w:val="21"/>
        </w:rPr>
        <w:t xml:space="preserve">回升到 </w:t>
      </w:r>
      <w:r>
        <w:rPr>
          <w:rFonts w:ascii="Arial" w:hAnsi="Arial" w:eastAsia="微软雅黑"/>
          <w:b/>
          <w:color w:val="5B4BDB"/>
          <w:sz w:val="21"/>
        </w:rPr>
        <w:t>0.171</w:t>
      </w:r>
      <w:r>
        <w:rPr>
          <w:rFonts w:ascii="Arial" w:hAnsi="Arial" w:eastAsia="微软雅黑"/>
          <w:b w:val="0"/>
          <w:color w:val="374151"/>
          <w:sz w:val="21"/>
        </w:rPr>
        <w:t xml:space="preserve">，环比 </w:t>
      </w:r>
      <w:r>
        <w:rPr>
          <w:rFonts w:ascii="Arial" w:hAnsi="Arial" w:eastAsia="微软雅黑"/>
          <w:b/>
          <w:color w:val="5B4BDB"/>
          <w:sz w:val="21"/>
        </w:rPr>
        <w:t>+0.134</w:t>
      </w:r>
      <w:r>
        <w:rPr>
          <w:rFonts w:ascii="Arial" w:hAnsi="Arial" w:eastAsia="微软雅黑"/>
          <w:b w:val="0"/>
          <w:color w:val="374151"/>
          <w:sz w:val="21"/>
        </w:rPr>
        <w:t xml:space="preserve">；亏钱效应 LI 仍有 </w:t>
      </w:r>
      <w:r>
        <w:rPr>
          <w:rFonts w:ascii="Arial" w:hAnsi="Arial" w:eastAsia="微软雅黑"/>
          <w:b/>
          <w:color w:val="D93A2B"/>
          <w:sz w:val="21"/>
        </w:rPr>
        <w:t>0.128</w:t>
      </w:r>
      <w:r>
        <w:rPr>
          <w:rFonts w:ascii="Arial" w:hAnsi="Arial" w:eastAsia="微软雅黑"/>
          <w:b w:val="0"/>
          <w:color w:val="374151"/>
          <w:sz w:val="21"/>
        </w:rPr>
        <w:t>，赚钱效应 RI 仍有 0.400。翻译成盘面语言：</w:t>
      </w:r>
      <w:r>
        <w:rPr>
          <w:rFonts w:ascii="Arial" w:hAnsi="Arial" w:eastAsia="微软雅黑"/>
          <w:b/>
          <w:color w:val="D93A2B"/>
          <w:sz w:val="21"/>
        </w:rPr>
        <w:t>做多错多，接力即被埋。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涨停 124 家、跌停 9 家、炸板 32 家，炸板率 20.5%；昨日涨停股今日平均只有 +2.83%，其中 0 家跌超 5%、0 家跌超 9%。晋级率 50.0%，昨日 47 家涨停里只有 2 家连板成功。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8FAFC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334155"/>
                <w:sz w:val="21"/>
              </w:rPr>
              <w:t>盘面语言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指数与个股同步走强，上涨家数4680家，涨停124家，跌停仅9家。情绪状态进入启动，但连板梯队断层明显：6板1家、4板1家、3板2家、2板6家，首板114家。高度靠青岛食品单点支撑，接力资金更愿意铺首板，而不是往中位板堆仓位。</w:t>
            </w:r>
          </w:p>
        </w:tc>
      </w:tr>
    </w:tbl>
    <w:p>
      <w:pPr>
        <w:spacing w:after="40"/>
      </w:pP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亏钱效应明细：谁在被杀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个股</w:t>
            </w:r>
          </w:p>
        </w:tc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代码</w:t>
            </w:r>
          </w:p>
        </w:tc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昨日身位</w:t>
            </w:r>
          </w:p>
        </w:tc>
        <w:tc>
          <w:tcPr>
            <w:tcW w:type="dxa" w:w="3969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今日表现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日内大面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上海沪工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603131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冲高后回落：最高 19.31 / 收 17.3 (-1.42%，自最高回落 10.4%)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趋势股大跌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大业股份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603278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近10日涨幅榜前10 → 今日大跌 (-9.99%)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日内大面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盛洋科技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603703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冲高后回落：最高 13.14 / 收 11.74 (-1.76%，自最高回落 10.7%)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高位断板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巴比食品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605338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 2 板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昨日2板 → 今日断板 (+0.91%，自最高回落 6.6%)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趋势股大跌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海洋王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002724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近10日涨幅榜前10 → 今日大跌 (-9.99%)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日内大面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传智教育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003032</w:t>
            </w:r>
          </w:p>
        </w:tc>
        <w:tc>
          <w:tcPr>
            <w:tcW w:type="dxa" w:w="136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396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冲高后回落：最高 10.86 / 收 9.57 (-3.92%，自最高回落 11.9%)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2FF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3730A3"/>
                <w:sz w:val="21"/>
              </w:rPr>
              <w:t>关键变化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巴比食品：昨日2板 → 今日断板 (+0.91%，自最高回落 6.6%)</w:t>
            </w:r>
          </w:p>
        </w:tc>
      </w:tr>
    </w:tbl>
    <w:p>
      <w:pPr>
        <w:spacing w:after="40"/>
      </w:pP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二、主线拆解：金融科技领涨，AI应用跟随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金融科技涨9.74%、AI应用涨6.72%、大模型涨6.55%，科技方向是今日最强主线。芯片材料、芯片设备、储能、算力租赁同步走强，但板块内涨停结构偏散，缺少连续换手的核心中军。澳洋健康作为总龙头继续走趋势，但连板高度仍由青岛食品把持，主线与高度之间没有完全咬合。</w:t>
      </w:r>
    </w:p>
    <w:p>
      <w:r>
        <w:drawing>
          <wp:inline xmlns:a="http://schemas.openxmlformats.org/drawingml/2006/main" xmlns:pic="http://schemas.openxmlformats.org/drawingml/2006/picture">
            <wp:extent cx="5940000" cy="270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ectors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7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行业 / 主题涨幅 Top 10：金融科技 +9.74%领涨，AI应用 +6.72%次之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系统催化库捕获的消息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方向</w:t>
            </w:r>
          </w:p>
        </w:tc>
        <w:tc>
          <w:tcPr>
            <w:tcW w:type="dxa" w:w="4762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催化</w:t>
            </w:r>
          </w:p>
        </w:tc>
        <w:tc>
          <w:tcPr>
            <w:tcW w:type="dxa" w:w="1928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来源 / 日期</w:t>
            </w:r>
          </w:p>
        </w:tc>
        <w:tc>
          <w:tcPr>
            <w:tcW w:type="dxa" w:w="158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当日表现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金融科技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暂无匹配催化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金融科技 +9.74%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AI应用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暂无匹配催化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AI应用 +6.72%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大模型</w:t>
            </w:r>
          </w:p>
        </w:tc>
        <w:tc>
          <w:tcPr>
            <w:tcW w:type="dxa" w:w="476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【电报解读】马斯克公布Neuralink脑机新产品进展，机构称国内外植入式脑机接口2026年已进入量产元年，这家公司与华为达成战略合作，共同探索脑科学大模型在精神医学中的应用</w:t>
            </w:r>
          </w:p>
        </w:tc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11-01 · 财联社</w:t>
            </w:r>
          </w:p>
        </w:tc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大模型 +6.55%</w:t>
            </w:r>
          </w:p>
        </w:tc>
      </w:tr>
    </w:tbl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人气 × 事件 × 价格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67"/>
        <w:gridCol w:w="1701"/>
        <w:gridCol w:w="2721"/>
        <w:gridCol w:w="907"/>
        <w:gridCol w:w="850"/>
        <w:gridCol w:w="1077"/>
        <w:gridCol w:w="1474"/>
      </w:tblGrid>
      <w:tr>
        <w:tc>
          <w:tcPr>
            <w:tcW w:type="dxa" w:w="567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排名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个股</w:t>
            </w:r>
          </w:p>
        </w:tc>
        <w:tc>
          <w:tcPr>
            <w:tcW w:type="dxa" w:w="272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事件（网络 / 产业）</w:t>
            </w:r>
          </w:p>
        </w:tc>
        <w:tc>
          <w:tcPr>
            <w:tcW w:type="dxa" w:w="90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参与</w:t>
            </w:r>
          </w:p>
        </w:tc>
        <w:tc>
          <w:tcPr>
            <w:tcW w:type="dxa" w:w="850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涨幅</w:t>
            </w:r>
          </w:p>
        </w:tc>
        <w:tc>
          <w:tcPr>
            <w:tcW w:type="dxa" w:w="107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方向</w:t>
            </w:r>
          </w:p>
        </w:tc>
        <w:tc>
          <w:tcPr>
            <w:tcW w:type="dxa" w:w="147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状态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东方财富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牛市旗手异动拉升：市场期待稳定政策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16,088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+6.31%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金融科技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人气+事件共振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2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襄阳轴承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物理AI加速机器人产业化，如何掘金？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4,142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+10.01%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汽车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人气+事件共振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3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东山精密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胜宏科技Q3净利同比降52%环比降66%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3,369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+7.13%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PCB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人气+事件共振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4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宇树科技-W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物理AI加速机器人产业化，如何掘金？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4,142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+2.34%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机器人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人气在榜 · 温和跟随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东方海洋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+9.89%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农产品加工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人气高 · 无事件驱动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6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芒果超媒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AI应用端再度发力，视频、游戏大幅走强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5,185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+20.00%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AI应用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人气+事件共振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7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澳洋健康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+9.98%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医药生物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人气高 · 无事件驱动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8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阳光照明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+10.02%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照明设备Ⅱ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人气高 · 无事件驱动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9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上海沪工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-1.42%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机械设备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无事件 · 人气待验证</w:t>
            </w:r>
          </w:p>
        </w:tc>
      </w:tr>
      <w:tr>
        <w:tc>
          <w:tcPr>
            <w:tcW w:type="dxa" w:w="56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10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银之杰</w:t>
            </w:r>
          </w:p>
        </w:tc>
        <w:tc>
          <w:tcPr>
            <w:tcW w:type="dxa" w:w="272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90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—</w:t>
            </w:r>
          </w:p>
        </w:tc>
        <w:tc>
          <w:tcPr>
            <w:tcW w:type="dxa" w:w="850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+20.02%</w:t>
            </w:r>
          </w:p>
        </w:tc>
        <w:tc>
          <w:tcPr>
            <w:tcW w:type="dxa" w:w="107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计算机</w:t>
            </w:r>
          </w:p>
        </w:tc>
        <w:tc>
          <w:tcPr>
            <w:tcW w:type="dxa" w:w="147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人气高 · 无事件驱动</w:t>
            </w:r>
          </w:p>
        </w:tc>
      </w:tr>
    </w:tbl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定性：是启动，还是冰点试错？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EEF2FF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3730A3"/>
                <w:sz w:val="21"/>
              </w:rPr>
              <w:t>定性判断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这是启动初期的试错，不是主升确认。涨停家数大幅扩散，但炸板率20.51%说明分歧仍在。金融科技和AI应用有板块效应，但连板梯队没有跟上，资金更愿意做首板套利。启动可以确认，但能不能升级成主升，要看明天中位板能不能接住。</w:t>
            </w:r>
          </w:p>
        </w:tc>
      </w:tr>
    </w:tbl>
    <w:p>
      <w:pPr>
        <w:spacing w:after="40"/>
      </w:pP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观察池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今日观察池中，青岛食品、澳洋健康、阳光照明、桂林三金、皇台酒业、沈阳机床均来自连板或人气榜。龙虎榜资金结构显示，机构占比34.48%、游资+散户占比34.38%、量化占比11.68%，情绪交易侧合计46.06%，与机构侧基本对半。资金没有单边押注，启动阶段仍以情绪交易为主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今日观察池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58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名称</w:t>
            </w:r>
          </w:p>
        </w:tc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代码</w:t>
            </w:r>
          </w:p>
        </w:tc>
        <w:tc>
          <w:tcPr>
            <w:tcW w:type="dxa" w:w="1020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身位</w:t>
            </w:r>
          </w:p>
        </w:tc>
        <w:tc>
          <w:tcPr>
            <w:tcW w:type="dxa" w:w="119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今日涨幅</w:t>
            </w:r>
          </w:p>
        </w:tc>
        <w:tc>
          <w:tcPr>
            <w:tcW w:type="dxa" w:w="164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龙虎榜净买</w:t>
            </w:r>
          </w:p>
        </w:tc>
        <w:tc>
          <w:tcPr>
            <w:tcW w:type="dxa" w:w="232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题材</w:t>
            </w:r>
          </w:p>
        </w:tc>
      </w:tr>
      <w:tr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青岛食品</w:t>
            </w:r>
          </w:p>
        </w:tc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001219</w:t>
            </w:r>
          </w:p>
        </w:tc>
        <w:tc>
          <w:tcPr>
            <w:tcW w:type="dxa" w:w="102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+9.98%</w:t>
            </w:r>
          </w:p>
        </w:tc>
        <w:tc>
          <w:tcPr>
            <w:tcW w:type="dxa" w:w="164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—</w:t>
            </w:r>
          </w:p>
        </w:tc>
        <w:tc>
          <w:tcPr>
            <w:tcW w:type="dxa" w:w="232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网红经济 / 乳业 / 新零售</w:t>
            </w:r>
          </w:p>
        </w:tc>
      </w:tr>
      <w:tr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澳洋健康</w:t>
            </w:r>
          </w:p>
        </w:tc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002172</w:t>
            </w:r>
          </w:p>
        </w:tc>
        <w:tc>
          <w:tcPr>
            <w:tcW w:type="dxa" w:w="102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+9.98%</w:t>
            </w:r>
          </w:p>
        </w:tc>
        <w:tc>
          <w:tcPr>
            <w:tcW w:type="dxa" w:w="164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—</w:t>
            </w:r>
          </w:p>
        </w:tc>
        <w:tc>
          <w:tcPr>
            <w:tcW w:type="dxa" w:w="232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毛发医疗 / 辅助生殖 / 医美概念</w:t>
            </w:r>
          </w:p>
        </w:tc>
      </w:tr>
      <w:tr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阳光照明</w:t>
            </w:r>
          </w:p>
        </w:tc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600261</w:t>
            </w:r>
          </w:p>
        </w:tc>
        <w:tc>
          <w:tcPr>
            <w:tcW w:type="dxa" w:w="102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+10.02%</w:t>
            </w:r>
          </w:p>
        </w:tc>
        <w:tc>
          <w:tcPr>
            <w:tcW w:type="dxa" w:w="164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—</w:t>
            </w:r>
          </w:p>
        </w:tc>
        <w:tc>
          <w:tcPr>
            <w:tcW w:type="dxa" w:w="232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商业航天 / 氢能源 / LED概念</w:t>
            </w:r>
          </w:p>
        </w:tc>
      </w:tr>
      <w:tr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桂林三金</w:t>
            </w:r>
          </w:p>
        </w:tc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002275</w:t>
            </w:r>
          </w:p>
        </w:tc>
        <w:tc>
          <w:tcPr>
            <w:tcW w:type="dxa" w:w="102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+10.01%</w:t>
            </w:r>
          </w:p>
        </w:tc>
        <w:tc>
          <w:tcPr>
            <w:tcW w:type="dxa" w:w="164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—</w:t>
            </w:r>
          </w:p>
        </w:tc>
        <w:tc>
          <w:tcPr>
            <w:tcW w:type="dxa" w:w="232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流感 / 单抗概念 / 中药概念</w:t>
            </w:r>
          </w:p>
        </w:tc>
      </w:tr>
      <w:tr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皇台酒业</w:t>
            </w:r>
          </w:p>
        </w:tc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000995</w:t>
            </w:r>
          </w:p>
        </w:tc>
        <w:tc>
          <w:tcPr>
            <w:tcW w:type="dxa" w:w="102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+10.01%</w:t>
            </w:r>
          </w:p>
        </w:tc>
        <w:tc>
          <w:tcPr>
            <w:tcW w:type="dxa" w:w="164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+1.03 亿</w:t>
            </w:r>
          </w:p>
        </w:tc>
        <w:tc>
          <w:tcPr>
            <w:tcW w:type="dxa" w:w="232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白酒 / 西部大开发 / 酿酒概念</w:t>
            </w:r>
          </w:p>
        </w:tc>
      </w:tr>
      <w:tr>
        <w:tc>
          <w:tcPr>
            <w:tcW w:type="dxa" w:w="158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沈阳机床</w:t>
            </w:r>
          </w:p>
        </w:tc>
        <w:tc>
          <w:tcPr>
            <w:tcW w:type="dxa" w:w="124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000410</w:t>
            </w:r>
          </w:p>
        </w:tc>
        <w:tc>
          <w:tcPr>
            <w:tcW w:type="dxa" w:w="102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+10.06%</w:t>
            </w:r>
          </w:p>
        </w:tc>
        <w:tc>
          <w:tcPr>
            <w:tcW w:type="dxa" w:w="164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—</w:t>
            </w:r>
          </w:p>
        </w:tc>
        <w:tc>
          <w:tcPr>
            <w:tcW w:type="dxa" w:w="232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东北振兴 / 人工智能 / 央国企改革</w:t>
            </w:r>
          </w:p>
        </w:tc>
      </w:tr>
    </w:tbl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观察池用于跟踪当日资金关注度，不构成推荐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8"/>
        </w:rPr>
        <w:t>当日成交额分位与资金结构未满足展开条件，完整共振章节本次未展开。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4B5563"/>
          <w:sz w:val="18"/>
        </w:rPr>
        <w:t>美股隔夜映射（数据日 2026-10-31 06:47 采集 → 2026-11-02 A股）：生物制药 美股+2.61% / A股+0.92%、光伏 美股-0.23% / A股+2.01%、新消费 美股-0.81% / A股+2.01%。海外板块只提供方向参考，A 股是否跟随仍看当日情绪与量能。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4B5563"/>
          <w:sz w:val="19"/>
        </w:rPr>
        <w:t>全球共振与本土情绪未出现明显背离。</w:t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三、连板身位：高度打开到 6 板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7"/>
        </w:rPr>
        <w:t>本文把龙头拆成两条线：「总龙头」看趋势与换手——5 日涨幅居全市场前 100、成交额与换手活跃，不要求连板；「连板龙头」看情绪高度——当日最高板且 5 日或 10 日涨幅位居全市场前 100。两者可以不是同一只；只有高度、缺少持续性的只称「最高板」，今日断板或核按钮的前高位股称「前期龙头」。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7"/>
        </w:rPr>
        <w:t>今日总龙头：澳洋健康（5 日 +49.8%、10 日 +12.7%、换手 25.1%、成交 12.2 亿、4 板）；连板龙头：青岛食品（6 板）。龙头是走出来的，不是启动日猜出来的；首板不因涨停自动成为龙头。</w:t>
      </w:r>
    </w:p>
    <w:p>
      <w:r>
        <w:drawing>
          <wp:inline xmlns:a="http://schemas.openxmlformats.org/drawingml/2006/main" xmlns:pic="http://schemas.openxmlformats.org/drawingml/2006/picture">
            <wp:extent cx="4680000" cy="2273143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dder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27314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连板梯队：1 板 114 家、2 板 6 家、6 板 1 家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124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高度</w:t>
            </w:r>
          </w:p>
        </w:tc>
        <w:tc>
          <w:tcPr>
            <w:tcW w:type="dxa" w:w="113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家数</w:t>
            </w:r>
          </w:p>
        </w:tc>
        <w:tc>
          <w:tcPr>
            <w:tcW w:type="dxa" w:w="3855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代表</w:t>
            </w:r>
          </w:p>
        </w:tc>
        <w:tc>
          <w:tcPr>
            <w:tcW w:type="dxa" w:w="3288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明日看点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6 板</w:t>
            </w:r>
          </w:p>
        </w:tc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</w:t>
            </w:r>
          </w:p>
        </w:tc>
        <w:tc>
          <w:tcPr>
            <w:tcW w:type="dxa" w:w="385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青岛食品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6 进 7，能不能打开空间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4 板</w:t>
            </w:r>
          </w:p>
        </w:tc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</w:t>
            </w:r>
          </w:p>
        </w:tc>
        <w:tc>
          <w:tcPr>
            <w:tcW w:type="dxa" w:w="385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澳洋健康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4 进 5，能否晋级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3 板</w:t>
            </w:r>
          </w:p>
        </w:tc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2</w:t>
            </w:r>
          </w:p>
        </w:tc>
        <w:tc>
          <w:tcPr>
            <w:tcW w:type="dxa" w:w="385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桂林三金、阳光照明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3 进 4，能否晋级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2 板</w:t>
            </w:r>
          </w:p>
        </w:tc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6</w:t>
            </w:r>
          </w:p>
        </w:tc>
        <w:tc>
          <w:tcPr>
            <w:tcW w:type="dxa" w:w="385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沈阳机床、合百集团、红太阳、皇台酒业、泉阳泉、地素时尚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2 进 3，金融科技方向</w:t>
            </w:r>
          </w:p>
        </w:tc>
      </w:tr>
      <w:tr>
        <w:tc>
          <w:tcPr>
            <w:tcW w:type="dxa" w:w="124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 板</w:t>
            </w:r>
          </w:p>
        </w:tc>
        <w:tc>
          <w:tcPr>
            <w:tcW w:type="dxa" w:w="113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114</w:t>
            </w:r>
          </w:p>
        </w:tc>
        <w:tc>
          <w:tcPr>
            <w:tcW w:type="dxa" w:w="385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襄阳轴承、捷成股份、芒果超媒、冰山冷热、银之杰、巨人网络、掌阅科技、风语筑</w:t>
            </w:r>
          </w:p>
        </w:tc>
        <w:tc>
          <w:tcPr>
            <w:tcW w:type="dxa" w:w="328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 进 2，看主线扩散</w:t>
            </w:r>
          </w:p>
        </w:tc>
      </w:tr>
    </w:tbl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青岛食品 独自站在 6 板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06"/>
        <w:gridCol w:w="1606"/>
        <w:gridCol w:w="1606"/>
        <w:gridCol w:w="1606"/>
        <w:gridCol w:w="1606"/>
        <w:gridCol w:w="1606"/>
      </w:tblGrid>
      <w:tr>
        <w:tc>
          <w:tcPr>
            <w:tcW w:type="dxa" w:w="164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名称</w:t>
            </w:r>
          </w:p>
        </w:tc>
        <w:tc>
          <w:tcPr>
            <w:tcW w:type="dxa" w:w="1077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身位</w:t>
            </w:r>
          </w:p>
        </w:tc>
        <w:tc>
          <w:tcPr>
            <w:tcW w:type="dxa" w:w="119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换手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成交额</w:t>
            </w:r>
          </w:p>
        </w:tc>
        <w:tc>
          <w:tcPr>
            <w:tcW w:type="dxa" w:w="187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龙虎榜净买</w:t>
            </w:r>
          </w:p>
        </w:tc>
        <w:tc>
          <w:tcPr>
            <w:tcW w:type="dxa" w:w="238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题材</w:t>
            </w:r>
          </w:p>
        </w:tc>
      </w:tr>
      <w:tr>
        <w:tc>
          <w:tcPr>
            <w:tcW w:type="dxa" w:w="164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青岛食品</w:t>
            </w:r>
          </w:p>
        </w:tc>
        <w:tc>
          <w:tcPr>
            <w:tcW w:type="dxa" w:w="107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 板</w:t>
            </w:r>
          </w:p>
        </w:tc>
        <w:tc>
          <w:tcPr>
            <w:tcW w:type="dxa" w:w="119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19.74%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7.72 亿</w:t>
            </w:r>
          </w:p>
        </w:tc>
        <w:tc>
          <w:tcPr>
            <w:tcW w:type="dxa" w:w="187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-0.29 亿</w:t>
            </w:r>
          </w:p>
        </w:tc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网红经济 / 乳业 / 新零售 / 央国企改革</w:t>
            </w:r>
          </w:p>
        </w:tc>
      </w:tr>
    </w:tbl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最高板青岛食品6板，但下方4板只有澳洋健康，3板只有桂林三金和阳光照明，2板6家。梯队断层明显，中位板数量太少。昨日涨停股今日平均溢价2.83%，没有出现核按钮，但上海沪工、盛洋科技、传智教育都走出日内大面，接力失败的代价依然很高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前期龙头跟踪：断板与龙回头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6B7280"/>
          <w:sz w:val="17"/>
        </w:rPr>
        <w:t>龙头战法不做启动日，看的是中后段趋势与断板后的龙回头。按近 10 个交易日最高板统计断板后的回撤与二波结构；二波=断板后重新涨停（括号内为二波最高板数），补跌≤-15%，走弱≤-5%，横盘±5%，修复≥+5%。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个股</w:t>
            </w:r>
          </w:p>
        </w:tc>
        <w:tc>
          <w:tcPr>
            <w:tcW w:type="dxa" w:w="850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原高度</w:t>
            </w:r>
          </w:p>
        </w:tc>
        <w:tc>
          <w:tcPr>
            <w:tcW w:type="dxa" w:w="1191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断板日</w:t>
            </w:r>
          </w:p>
        </w:tc>
        <w:tc>
          <w:tcPr>
            <w:tcW w:type="dxa" w:w="113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最大回撤</w:t>
            </w:r>
          </w:p>
        </w:tc>
        <w:tc>
          <w:tcPr>
            <w:tcW w:type="dxa" w:w="107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后1日</w:t>
            </w:r>
          </w:p>
        </w:tc>
        <w:tc>
          <w:tcPr>
            <w:tcW w:type="dxa" w:w="107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后2日</w:t>
            </w:r>
          </w:p>
        </w:tc>
        <w:tc>
          <w:tcPr>
            <w:tcW w:type="dxa" w:w="113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累计</w:t>
            </w:r>
          </w:p>
        </w:tc>
        <w:tc>
          <w:tcPr>
            <w:tcW w:type="dxa" w:w="1474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状态</w:t>
            </w:r>
          </w:p>
        </w:tc>
      </w:tr>
      <w:tr>
        <w:tc>
          <w:tcPr>
            <w:tcW w:type="dxa" w:w="141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大业股份</w:t>
            </w:r>
          </w:p>
        </w:tc>
        <w:tc>
          <w:tcPr>
            <w:tcW w:type="dxa" w:w="85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 板</w:t>
            </w:r>
          </w:p>
        </w:tc>
        <w:tc>
          <w:tcPr>
            <w:tcW w:type="dxa" w:w="119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2026-10-23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+0.00%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+8.08%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+9.02%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+10.09%</w:t>
            </w:r>
          </w:p>
        </w:tc>
        <w:tc>
          <w:tcPr>
            <w:tcW w:type="dxa" w:w="147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修复</w:t>
            </w:r>
          </w:p>
        </w:tc>
      </w:tr>
      <w:tr>
        <w:tc>
          <w:tcPr>
            <w:tcW w:type="dxa" w:w="141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海洋王</w:t>
            </w:r>
          </w:p>
        </w:tc>
        <w:tc>
          <w:tcPr>
            <w:tcW w:type="dxa" w:w="85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 板</w:t>
            </w:r>
          </w:p>
        </w:tc>
        <w:tc>
          <w:tcPr>
            <w:tcW w:type="dxa" w:w="119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2026-10-23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-3.49%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-3.49%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+6.16%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+7.46%</w:t>
            </w:r>
          </w:p>
        </w:tc>
        <w:tc>
          <w:tcPr>
            <w:tcW w:type="dxa" w:w="147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二波（1 板）</w:t>
            </w:r>
          </w:p>
        </w:tc>
      </w:tr>
      <w:tr>
        <w:tc>
          <w:tcPr>
            <w:tcW w:type="dxa" w:w="141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上海九百</w:t>
            </w:r>
          </w:p>
        </w:tc>
        <w:tc>
          <w:tcPr>
            <w:tcW w:type="dxa" w:w="850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 板</w:t>
            </w:r>
          </w:p>
        </w:tc>
        <w:tc>
          <w:tcPr>
            <w:tcW w:type="dxa" w:w="1191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2026-10-27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-11.72%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+5.11%</w:t>
            </w:r>
          </w:p>
        </w:tc>
        <w:tc>
          <w:tcPr>
            <w:tcW w:type="dxa" w:w="107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+2.40%</w:t>
            </w:r>
          </w:p>
        </w:tc>
        <w:tc>
          <w:tcPr>
            <w:tcW w:type="dxa" w:w="113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-11.72%</w:t>
            </w:r>
          </w:p>
        </w:tc>
        <w:tc>
          <w:tcPr>
            <w:tcW w:type="dxa" w:w="147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走弱</w:t>
            </w:r>
          </w:p>
        </w:tc>
      </w:tr>
    </w:tbl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四、资金拆解：捷成股份 领衔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龙虎榜净买入前三为捷成股份、银之杰、粤传媒，机构与游资都有参与。机构占比37.21%，较20日均值22.15%明显回升；游资占比26.56%，与20日均值基本持平；量化占比11.42%，较5日均值略降。资金结构偏机构回流，但机构整体净卖出5.2亿，更多是调仓而非全面进攻。</w:t>
      </w:r>
    </w:p>
    <w:p>
      <w:r>
        <w:drawing>
          <wp:inline xmlns:a="http://schemas.openxmlformats.org/drawingml/2006/main" xmlns:pic="http://schemas.openxmlformats.org/drawingml/2006/picture">
            <wp:extent cx="5940000" cy="243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dpw_seats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43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捷成股份龙虎榜：席位买卖结构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5102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席位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净买入（亿）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买入（亿）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卖出（亿）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深股通专用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+1.47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1.90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0.43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机构专用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+1.10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1.32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0.22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开源证券西安西大街营业部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+0.71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0.71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国泰海通证券北京知春路营业部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+0.62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0.62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浙商证券四川分公司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-0.17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0.17</w:t>
            </w:r>
          </w:p>
        </w:tc>
      </w:tr>
    </w:tbl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捷成股份龙虎榜席位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龙虎榜资金结构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238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资金类型</w:t>
            </w:r>
          </w:p>
        </w:tc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买入金额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买入占比</w:t>
            </w:r>
          </w:p>
        </w:tc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净买入</w:t>
            </w:r>
          </w:p>
        </w:tc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参与个股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机构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51.61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34.5%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-5.20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49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量化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17.49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11.7%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+5.28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37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游资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44.38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29.6%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+15.47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67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散户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7.09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4.7%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-1.88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35</w:t>
            </w:r>
          </w:p>
        </w:tc>
      </w:tr>
      <w:tr>
        <w:tc>
          <w:tcPr>
            <w:tcW w:type="dxa" w:w="238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北向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29.14 亿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19.5%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+9.62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28</w:t>
            </w:r>
          </w:p>
        </w:tc>
      </w:tr>
    </w:tbl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19"/>
        </w:rPr>
        <w:t>机构买入占比 34.5%，量化 11.7%，游资 + 散户 34.4%；把量化归入交易型资金后，交易/情绪资金合计 46.1%。龙虎榜口径下由「量化 + 游资 + 散户（交易型资金）」占优。这与今日的龙虎榜结构互相印证，但龙虎榜只是活跃席位样本，不等于全市场资金结构。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结构跟踪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>当前结构状态：机构回流。机构 37.2%、量化 11.4%、游资 26.6%、散户 3.6%。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1928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5日均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20日均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较20日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机构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37.2%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24.3%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22.1%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+15.1pct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量化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11.4%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12.3%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18.4%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-7.0pct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游资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26.6%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29.1%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26.5%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+0.0pct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散户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3.6%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16.1%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16.4%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-12.8pct</w:t>
            </w:r>
          </w:p>
        </w:tc>
      </w:tr>
      <w:tr>
        <w:tc>
          <w:tcPr>
            <w:tcW w:type="dxa" w:w="1928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北向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21.2%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18.1%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16.6%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+4.7pct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940000" cy="2325612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tructure_trend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32561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机构占比 37.2%，较20日均值 +15.1pct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游资占比 26.6%，较20日均值 +0.0pct</w:t>
      </w:r>
    </w:p>
    <w:p>
      <w:pPr>
        <w:pStyle w:val="ListBullet"/>
        <w:spacing w:after="60" w:line="336" w:lineRule="auto"/>
      </w:pPr>
      <w:r>
        <w:rPr>
          <w:rFonts w:ascii="Arial" w:hAnsi="Arial" w:eastAsia="微软雅黑"/>
          <w:color w:val="374151"/>
          <w:sz w:val="19"/>
        </w:rPr>
        <w:t>量化占比 11.4%，较5日均值 -0.9pct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近5日持续上榜席位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4649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席位</w:t>
            </w:r>
          </w:p>
        </w:tc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类型</w:t>
            </w:r>
          </w:p>
        </w:tc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5日净买</w:t>
            </w:r>
          </w:p>
        </w:tc>
        <w:tc>
          <w:tcPr>
            <w:tcW w:type="dxa" w:w="136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上榜天数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开源证券西安西大街营业部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量化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+11.24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 天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国新证券北京分公司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游资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+11.05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 天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国泰海通证券武汉紫阳东路营业部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游资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+9.68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 天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深股通专用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北向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+9.32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 天</w:t>
            </w:r>
          </w:p>
        </w:tc>
      </w:tr>
      <w:tr>
        <w:tc>
          <w:tcPr>
            <w:tcW w:type="dxa" w:w="4649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国泰海通证券北京知春路营业部</w:t>
            </w:r>
          </w:p>
        </w:tc>
        <w:tc>
          <w:tcPr>
            <w:tcW w:type="dxa" w:w="1814"/>
          </w:tcPr>
          <w:p>
            <w:pPr>
              <w:spacing w:before="40" w:after="40"/>
              <w:jc w:val="center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游资</w:t>
            </w:r>
          </w:p>
        </w:tc>
        <w:tc>
          <w:tcPr>
            <w:tcW w:type="dxa" w:w="1814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+6.61 亿</w:t>
            </w:r>
          </w:p>
        </w:tc>
        <w:tc>
          <w:tcPr>
            <w:tcW w:type="dxa" w:w="136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6"/>
              </w:rPr>
              <w:t>5 天</w:t>
            </w:r>
          </w:p>
        </w:tc>
      </w:tr>
    </w:tbl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全市场活跃席位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5102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席位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净买入（亿）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买入（亿）</w:t>
            </w:r>
          </w:p>
        </w:tc>
        <w:tc>
          <w:tcPr>
            <w:tcW w:type="dxa" w:w="1417"/>
            <w:shd w:val="clear" w:color="auto" w:fill="11182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卖出（亿）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深股通专用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+5.91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18.35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12.44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沪股通专用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+3.71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10.78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7.07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国新证券北京分公司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+3.34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4.50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1.16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国泰海通证券武汉紫阳东路营业部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+3.13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3.87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0.74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国泰海通证券湛江万豪世家营业部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+2.57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2.57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0.00</w:t>
            </w:r>
          </w:p>
        </w:tc>
      </w:tr>
      <w:tr>
        <w:tc>
          <w:tcPr>
            <w:tcW w:type="dxa" w:w="5102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国泰海通证券上海自贸试验区第二…</w:t>
            </w:r>
          </w:p>
        </w:tc>
        <w:tc>
          <w:tcPr>
            <w:tcW w:type="dxa" w:w="1701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+2.02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2.37</w:t>
            </w:r>
          </w:p>
        </w:tc>
        <w:tc>
          <w:tcPr>
            <w:tcW w:type="dxa" w:w="1417"/>
          </w:tcPr>
          <w:p>
            <w:pPr>
              <w:spacing w:before="40" w:after="40"/>
              <w:jc w:val="righ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0.35</w:t>
            </w:r>
          </w:p>
        </w:tc>
      </w:tr>
    </w:tbl>
    <w:p>
      <w:r>
        <w:drawing>
          <wp:inline xmlns:a="http://schemas.openxmlformats.org/drawingml/2006/main" xmlns:pic="http://schemas.openxmlformats.org/drawingml/2006/picture">
            <wp:extent cx="5940000" cy="270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hb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70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龙虎榜净买入 Top 10：捷成股份 +3.31 亿、银之杰 +2.45 亿、粤传媒 +2.04 亿</w:t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五、情绪引擎：启动状态拆解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1"/>
        </w:rPr>
        <w:t xml:space="preserve">引擎判定 </w:t>
      </w:r>
      <w:r>
        <w:rPr>
          <w:rFonts w:ascii="Arial" w:hAnsi="Arial" w:eastAsia="微软雅黑"/>
          <w:b/>
          <w:color w:val="5B4BDB"/>
          <w:sz w:val="21"/>
        </w:rPr>
        <w:t>启动</w:t>
      </w:r>
      <w:r>
        <w:rPr>
          <w:rFonts w:ascii="Arial" w:hAnsi="Arial" w:eastAsia="微软雅黑"/>
          <w:b w:val="0"/>
          <w:color w:val="374151"/>
          <w:sz w:val="21"/>
        </w:rPr>
        <w:t>，置信度 100%。ETI 0.171、ETPI 0.514、LI 0.128；三项指标分化。</w:t>
      </w:r>
    </w:p>
    <w:p>
      <w:r>
        <w:drawing>
          <wp:inline xmlns:a="http://schemas.openxmlformats.org/drawingml/2006/main" xmlns:pic="http://schemas.openxmlformats.org/drawingml/2006/picture">
            <wp:extent cx="5940000" cy="2196411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ti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196411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情绪温度近 30 日：当前 0.171，处于启动区间</w:t>
      </w:r>
    </w:p>
    <w:p>
      <w:r>
        <w:drawing>
          <wp:inline xmlns:a="http://schemas.openxmlformats.org/drawingml/2006/main" xmlns:pic="http://schemas.openxmlformats.org/drawingml/2006/picture">
            <wp:extent cx="5940000" cy="206721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imits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000" cy="206721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rFonts w:ascii="Arial" w:hAnsi="Arial" w:eastAsia="微软雅黑"/>
          <w:color w:val="6B7280"/>
          <w:sz w:val="17"/>
        </w:rPr>
        <w:t>近 10 日涨跌停：今日涨停 124 家、跌停 9 家，炸板率 20.5%</w:t>
      </w: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六、明日交易剧本（非建议，仅状态推演）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374151"/>
          <w:sz w:val="20"/>
        </w:rPr>
        <w:t>下面三套剧本不是预测，而是把明天可能出现的盘面状态提前写清楚。触发条件成立，就按对应状态处理；条件不成立，就不要提前站队。</w:t>
      </w:r>
    </w:p>
    <w:p>
      <w:pPr>
        <w:spacing w:before="200" w:after="120"/>
      </w:pPr>
      <w:r>
        <w:rPr>
          <w:rFonts w:ascii="Arial" w:hAnsi="Arial" w:eastAsia="微软雅黑"/>
          <w:b/>
          <w:color w:val="B91C1C"/>
          <w:sz w:val="24"/>
        </w:rPr>
        <w:t>剧本 A｜继续退潮：高位核按钮扩散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91C1C"/>
          <w:sz w:val="20"/>
        </w:rPr>
        <w:t>触发：</w:t>
      </w:r>
      <w:r>
        <w:rPr>
          <w:rFonts w:ascii="Arial" w:hAnsi="Arial" w:eastAsia="微软雅黑"/>
          <w:b w:val="0"/>
          <w:color w:val="374151"/>
          <w:sz w:val="20"/>
        </w:rPr>
        <w:t>青岛食品断板或炸板，昨日涨停股出现核按钮，跌停家数快速增加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91C1C"/>
          <w:sz w:val="20"/>
        </w:rPr>
        <w:t>盘面：</w:t>
      </w:r>
      <w:r>
        <w:rPr>
          <w:rFonts w:ascii="Arial" w:hAnsi="Arial" w:eastAsia="微软雅黑"/>
          <w:b w:val="0"/>
          <w:color w:val="374151"/>
          <w:sz w:val="20"/>
        </w:rPr>
        <w:t>启动失败，情绪重新回到退潮。首板溢价消失，接力资金全面收缩，中位板集体补跌。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91C1C"/>
          <w:sz w:val="20"/>
        </w:rPr>
        <w:t>应对思路：</w:t>
      </w:r>
      <w:r>
        <w:rPr>
          <w:rFonts w:ascii="Arial" w:hAnsi="Arial" w:eastAsia="微软雅黑"/>
          <w:b w:val="0"/>
          <w:color w:val="374151"/>
          <w:sz w:val="20"/>
        </w:rPr>
        <w:t>只看不动，不接任何中位板，等待亏钱效应释放完毕。</w:t>
      </w:r>
    </w:p>
    <w:p>
      <w:pPr>
        <w:spacing w:before="200" w:after="120"/>
      </w:pPr>
      <w:r>
        <w:rPr>
          <w:rFonts w:ascii="Arial" w:hAnsi="Arial" w:eastAsia="微软雅黑"/>
          <w:b/>
          <w:color w:val="15803D"/>
          <w:sz w:val="24"/>
        </w:rPr>
        <w:t>剧本 B｜弱势修复：7 板打开空间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5803D"/>
          <w:sz w:val="20"/>
        </w:rPr>
        <w:t>触发：</w:t>
      </w:r>
      <w:r>
        <w:rPr>
          <w:rFonts w:ascii="Arial" w:hAnsi="Arial" w:eastAsia="微软雅黑"/>
          <w:b w:val="0"/>
          <w:color w:val="374151"/>
          <w:sz w:val="20"/>
        </w:rPr>
        <w:t>青岛食品继续晋级，涨停家数维持100家以上，炸板率降到15%以下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5803D"/>
          <w:sz w:val="20"/>
        </w:rPr>
        <w:t>盘面：</w:t>
      </w:r>
      <w:r>
        <w:rPr>
          <w:rFonts w:ascii="Arial" w:hAnsi="Arial" w:eastAsia="微软雅黑"/>
          <w:b w:val="0"/>
          <w:color w:val="374151"/>
          <w:sz w:val="20"/>
        </w:rPr>
        <w:t>启动升级，连板梯队开始补位，3板、4板数量增加，主线出现连续换手核心。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15803D"/>
          <w:sz w:val="20"/>
        </w:rPr>
        <w:t>应对思路：</w:t>
      </w:r>
      <w:r>
        <w:rPr>
          <w:rFonts w:ascii="Arial" w:hAnsi="Arial" w:eastAsia="微软雅黑"/>
          <w:b w:val="0"/>
          <w:color w:val="374151"/>
          <w:sz w:val="20"/>
        </w:rPr>
        <w:t>关注3板以上换手板，以及金融科技、AI应用里有没有新的连板核心。</w:t>
      </w:r>
    </w:p>
    <w:p>
      <w:pPr>
        <w:spacing w:before="200" w:after="120"/>
      </w:pPr>
      <w:r>
        <w:rPr>
          <w:rFonts w:ascii="Arial" w:hAnsi="Arial" w:eastAsia="微软雅黑"/>
          <w:b/>
          <w:color w:val="B45309"/>
          <w:sz w:val="24"/>
        </w:rPr>
        <w:t>剧本 C｜混沌震荡：6 板维持，轮动加快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45309"/>
          <w:sz w:val="20"/>
        </w:rPr>
        <w:t>触发：</w:t>
      </w:r>
      <w:r>
        <w:rPr>
          <w:rFonts w:ascii="Arial" w:hAnsi="Arial" w:eastAsia="微软雅黑"/>
          <w:b w:val="0"/>
          <w:color w:val="374151"/>
          <w:sz w:val="20"/>
        </w:rPr>
        <w:t>青岛食品维持6板但无法晋级，涨停家数在100家附近波动，题材快速轮动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45309"/>
          <w:sz w:val="20"/>
        </w:rPr>
        <w:t>盘面：</w:t>
      </w:r>
      <w:r>
        <w:rPr>
          <w:rFonts w:ascii="Arial" w:hAnsi="Arial" w:eastAsia="微软雅黑"/>
          <w:b w:val="0"/>
          <w:color w:val="374151"/>
          <w:sz w:val="20"/>
        </w:rPr>
        <w:t>混沌震荡，高度不打开，资金在首板和低位板之间反复切换，没有明确主线。</w:t>
      </w:r>
    </w:p>
    <w:p>
      <w:pPr>
        <w:spacing w:after="120" w:line="360" w:lineRule="auto"/>
      </w:pPr>
      <w:r>
        <w:rPr>
          <w:rFonts w:ascii="Arial" w:hAnsi="Arial" w:eastAsia="微软雅黑"/>
          <w:b/>
          <w:color w:val="B45309"/>
          <w:sz w:val="20"/>
        </w:rPr>
        <w:t>应对思路：</w:t>
      </w:r>
      <w:r>
        <w:rPr>
          <w:rFonts w:ascii="Arial" w:hAnsi="Arial" w:eastAsia="微软雅黑"/>
          <w:b w:val="0"/>
          <w:color w:val="374151"/>
          <w:sz w:val="20"/>
        </w:rPr>
        <w:t>只做首板或1进2，不追高位，等待方向选择。</w:t>
      </w:r>
    </w:p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明日风向标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204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标的</w:t>
            </w:r>
          </w:p>
        </w:tc>
        <w:tc>
          <w:tcPr>
            <w:tcW w:type="dxa" w:w="2835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身份</w:t>
            </w:r>
          </w:p>
        </w:tc>
        <w:tc>
          <w:tcPr>
            <w:tcW w:type="dxa" w:w="4535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观察点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澳洋健康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总龙头 · 趋势/换手（4 板）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5 日 +49.8%、换手 25.1%：能否继续领涨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青岛食品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连板龙头 · 6 板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6 进 7：能否高开换手封板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巴比食品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前期龙头 · 已断板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是否补跌：前期龙头是情绪锚，补跌则退潮延续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捷成股份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龙虎榜净买 +3.31 亿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次日溢价：高开红盘 = 资金锚；低开翻绿 = 单点失败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东方财富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人气榜前列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次日承接：能否带动同题材首板</w:t>
            </w:r>
          </w:p>
        </w:tc>
      </w:tr>
      <w:tr>
        <w:tc>
          <w:tcPr>
            <w:tcW w:type="dxa" w:w="204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桂林三金</w:t>
            </w:r>
          </w:p>
        </w:tc>
        <w:tc>
          <w:tcPr>
            <w:tcW w:type="dxa" w:w="28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 板梯队</w:t>
            </w:r>
          </w:p>
        </w:tc>
        <w:tc>
          <w:tcPr>
            <w:tcW w:type="dxa" w:w="4535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7"/>
              </w:rPr>
              <w:t>3 进 4：能否补位连板龙头（6 板）</w:t>
            </w:r>
          </w:p>
        </w:tc>
      </w:tr>
    </w:tbl>
    <w:p>
      <w:pPr>
        <w:spacing w:before="200" w:after="120"/>
      </w:pPr>
      <w:r>
        <w:rPr>
          <w:rFonts w:ascii="Arial" w:hAnsi="Arial" w:eastAsia="微软雅黑"/>
          <w:b/>
          <w:color w:val="111827"/>
          <w:sz w:val="24"/>
        </w:rPr>
        <w:t>明日仪表盘：用数字确认状态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1814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指标</w:t>
            </w:r>
          </w:p>
        </w:tc>
        <w:tc>
          <w:tcPr>
            <w:tcW w:type="dxa" w:w="1701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今日</w:t>
            </w:r>
          </w:p>
        </w:tc>
        <w:tc>
          <w:tcPr>
            <w:tcW w:type="dxa" w:w="5896"/>
            <w:shd w:val="clear" w:color="auto" w:fill="111827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/>
                <w:color w:val="FFFFFF"/>
                <w:sz w:val="18"/>
              </w:rPr>
              <w:t>触发条件 / 含义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涨停家数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124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＜30 防守 / ＞60 修复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跌停家数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9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＞30 恶化 / ＜10 修复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炸板率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20.5%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＞35% 恶化 / ＜30% 修复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最高板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6 板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≥4 板修复 / ≤3 板压制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成交额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1.79 万亿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＜1.4 万亿存量 / ＞1.6 万亿增量</w:t>
            </w:r>
          </w:p>
        </w:tc>
      </w:tr>
      <w:tr>
        <w:tc>
          <w:tcPr>
            <w:tcW w:type="dxa" w:w="1814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捷成股份溢价</w:t>
            </w:r>
          </w:p>
        </w:tc>
        <w:tc>
          <w:tcPr>
            <w:tcW w:type="dxa" w:w="1701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待观察</w:t>
            </w:r>
          </w:p>
        </w:tc>
        <w:tc>
          <w:tcPr>
            <w:tcW w:type="dxa" w:w="5896"/>
          </w:tcPr>
          <w:p>
            <w:pPr>
              <w:spacing w:before="40" w:after="40"/>
              <w:jc w:val="left"/>
            </w:pPr>
            <w:r/>
            <w:r>
              <w:rPr>
                <w:rFonts w:ascii="Arial" w:hAnsi="Arial" w:eastAsia="微软雅黑"/>
                <w:b w:val="0"/>
                <w:color w:val="111827"/>
                <w:sz w:val="18"/>
              </w:rPr>
              <w:t>次日红盘 = 资金锚；翻绿 = 单点失败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EF2F2"/>
          </w:tcPr>
          <w:p>
            <w:pPr>
              <w:spacing w:before="120" w:after="120"/>
            </w:pPr>
            <w:r/>
            <w:r>
              <w:rPr>
                <w:rFonts w:ascii="Arial" w:hAnsi="Arial" w:eastAsia="微软雅黑"/>
                <w:b/>
                <w:color w:val="991B1B"/>
                <w:sz w:val="21"/>
              </w:rPr>
              <w:t>最后一句</w:t>
              <w:br/>
            </w:r>
            <w:r>
              <w:rPr>
                <w:rFonts w:ascii="Arial" w:hAnsi="Arial" w:eastAsia="微软雅黑"/>
                <w:color w:val="374151"/>
                <w:sz w:val="20"/>
              </w:rPr>
              <w:t>启动不是反转，124家涨停里藏着20.51%的炸板率。高度有了，但梯队没跟上，明天只看青岛食品能不能把6板变成7板。</w:t>
            </w:r>
          </w:p>
        </w:tc>
      </w:tr>
    </w:tbl>
    <w:p>
      <w:pPr>
        <w:spacing w:after="40"/>
      </w:pPr>
    </w:p>
    <w:p>
      <w:pPr>
        <w:spacing w:before="320" w:after="120"/>
      </w:pPr>
      <w:r>
        <w:rPr>
          <w:rFonts w:ascii="Arial" w:hAnsi="Arial" w:eastAsia="微软雅黑"/>
          <w:b/>
          <w:color w:val="111827"/>
          <w:sz w:val="30"/>
        </w:rPr>
        <w:t>七、免责声明</w:t>
      </w:r>
    </w:p>
    <w:p>
      <w:pPr>
        <w:spacing w:after="120" w:line="360" w:lineRule="auto"/>
      </w:pPr>
      <w:r>
        <w:rPr>
          <w:rFonts w:ascii="Arial" w:hAnsi="Arial" w:eastAsia="微软雅黑"/>
          <w:b w:val="0"/>
          <w:color w:val="9CA3AF"/>
          <w:sz w:val="18"/>
        </w:rPr>
        <w:t>本报告只提供客观状态与历史数据，不构成投资建议，盈亏自负。市场有风险，投资需谨慎。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CA3AF"/>
        <w:sz w:val="16"/>
      </w:rPr>
      <w:t xml:space="preserve">只提供客观状态与历史数据，不构成投资建议 · 第 </w:t>
    </w:r>
    <w:r>
      <w:fldChar w:fldCharType="begin"/>
      <w:instrText xml:space="preserve"> PAGE </w:instrText>
      <w:fldChar w:fldCharType="end"/>
    </w:r>
    <w:r>
      <w:rPr>
        <w:color w:val="9CA3AF"/>
        <w:sz w:val="16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b/>
        <w:color w:val="9CA3AF"/>
        <w:sz w:val="18"/>
      </w:rPr>
      <w:t>产棱 IndPrism · A股短线复盘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微软雅黑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高度升到六板，启动里先看承接 · 2026-11-02 复盘</dc:title>
  <dc:subject>启动 · 最高 6 板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