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4555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555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执行摘要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6"/>
        </w:rPr>
        <w:t>高度被打断，冰点里只剩试错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1356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13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27976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797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执行摘要由当日数据自动生成，详细推演见正文各章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本报告结构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一、盘面定性：情绪坐标、赚钱效应与亏钱效应明细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二、主线拆解：强势方向、催化事件、人气 × 事件 × 价格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三、连板身位：梯队分布、最高板接力、断层位置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四、资金拆解：龙虎榜结构、20 日趋势、持续席位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五、情绪引擎：状态、指标与周期标签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六、明日交易剧本：三套状态推演与验证仪表盘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七、免责声明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昨日观点验证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对比 2026-11-02 的判断与 2026-11-03 的实际结果；昨日状态为「启动」。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90497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04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昨日剧本基准 6 板，今日 4 板，落在剧本 A（断板退潮）。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近 13 个连续交易日：命中 12 次、未命中 27 次、无法判定 0 次，命中率 30.8%。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90497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04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判断阈值在生成当日锁定，次日只做客观比对；无法判定单独计数，不计入命中率</w:t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一、盘面定性：冰点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成交额只有 </w:t>
      </w:r>
      <w:r>
        <w:rPr>
          <w:rFonts w:ascii="Arial" w:hAnsi="Arial" w:eastAsia="微软雅黑"/>
          <w:b/>
          <w:color w:val="111827"/>
          <w:sz w:val="21"/>
        </w:rPr>
        <w:t>1.71 万亿</w:t>
      </w:r>
      <w:r>
        <w:rPr>
          <w:rFonts w:ascii="Arial" w:hAnsi="Arial" w:eastAsia="微软雅黑"/>
          <w:b w:val="0"/>
          <w:color w:val="374151"/>
          <w:sz w:val="21"/>
        </w:rPr>
        <w:t>。</w:t>
      </w:r>
      <w:r>
        <w:rPr>
          <w:rFonts w:ascii="Arial" w:hAnsi="Arial" w:eastAsia="微软雅黑"/>
          <w:b w:val="0"/>
          <w:color w:val="374151"/>
          <w:sz w:val="21"/>
        </w:rPr>
        <w:t xml:space="preserve">指数普跌（上证 -0.82%、创业板 -2.73%），但全市场 </w:t>
      </w:r>
      <w:r>
        <w:rPr>
          <w:rFonts w:ascii="Arial" w:hAnsi="Arial" w:eastAsia="微软雅黑"/>
          <w:b/>
          <w:color w:val="D93A2B"/>
          <w:sz w:val="21"/>
        </w:rPr>
        <w:t>3309 家下跌</w:t>
      </w:r>
      <w:r>
        <w:rPr>
          <w:rFonts w:ascii="Arial" w:hAnsi="Arial" w:eastAsia="微软雅黑"/>
          <w:b w:val="0"/>
          <w:color w:val="374151"/>
          <w:sz w:val="21"/>
        </w:rPr>
        <w:t xml:space="preserve">、仅 </w:t>
      </w:r>
      <w:r>
        <w:rPr>
          <w:rFonts w:ascii="Arial" w:hAnsi="Arial" w:eastAsia="微软雅黑"/>
          <w:b/>
          <w:color w:val="D93A2B"/>
          <w:sz w:val="21"/>
        </w:rPr>
        <w:t>2107 家上涨</w:t>
      </w:r>
      <w:r>
        <w:rPr>
          <w:rFonts w:ascii="Arial" w:hAnsi="Arial" w:eastAsia="微软雅黑"/>
          <w:b w:val="0"/>
          <w:color w:val="374151"/>
          <w:sz w:val="21"/>
        </w:rPr>
        <w:t xml:space="preserve">，上涨占比 </w:t>
      </w:r>
      <w:r>
        <w:rPr>
          <w:rFonts w:ascii="Arial" w:hAnsi="Arial" w:eastAsia="微软雅黑"/>
          <w:b/>
          <w:color w:val="D93A2B"/>
          <w:sz w:val="21"/>
        </w:rPr>
        <w:t>38.9%</w:t>
      </w:r>
      <w:r>
        <w:rPr>
          <w:rFonts w:ascii="Arial" w:hAnsi="Arial" w:eastAsia="微软雅黑"/>
          <w:b w:val="0"/>
          <w:color w:val="374151"/>
          <w:sz w:val="21"/>
        </w:rPr>
        <w:t>。这是典型的“指数撑住、个股失血”。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情绪温度 ETI </w:t>
      </w:r>
      <w:r>
        <w:rPr>
          <w:rFonts w:ascii="Arial" w:hAnsi="Arial" w:eastAsia="微软雅黑"/>
          <w:b w:val="0"/>
          <w:color w:val="374151"/>
          <w:sz w:val="21"/>
        </w:rPr>
        <w:t xml:space="preserve">降到 </w:t>
      </w:r>
      <w:r>
        <w:rPr>
          <w:rFonts w:ascii="Arial" w:hAnsi="Arial" w:eastAsia="微软雅黑"/>
          <w:b/>
          <w:color w:val="5B4BDB"/>
          <w:sz w:val="21"/>
        </w:rPr>
        <w:t>0.016</w:t>
      </w:r>
      <w:r>
        <w:rPr>
          <w:rFonts w:ascii="Arial" w:hAnsi="Arial" w:eastAsia="微软雅黑"/>
          <w:b w:val="0"/>
          <w:color w:val="374151"/>
          <w:sz w:val="21"/>
        </w:rPr>
        <w:t xml:space="preserve">，环比 </w:t>
      </w:r>
      <w:r>
        <w:rPr>
          <w:rFonts w:ascii="Arial" w:hAnsi="Arial" w:eastAsia="微软雅黑"/>
          <w:b/>
          <w:color w:val="5B4BDB"/>
          <w:sz w:val="21"/>
        </w:rPr>
        <w:t>-0.155</w:t>
      </w:r>
      <w:r>
        <w:rPr>
          <w:rFonts w:ascii="Arial" w:hAnsi="Arial" w:eastAsia="微软雅黑"/>
          <w:b w:val="0"/>
          <w:color w:val="374151"/>
          <w:sz w:val="21"/>
        </w:rPr>
        <w:t xml:space="preserve">；亏钱效应 LI 仍有 </w:t>
      </w:r>
      <w:r>
        <w:rPr>
          <w:rFonts w:ascii="Arial" w:hAnsi="Arial" w:eastAsia="微软雅黑"/>
          <w:b/>
          <w:color w:val="D93A2B"/>
          <w:sz w:val="21"/>
        </w:rPr>
        <w:t>0.311</w:t>
      </w:r>
      <w:r>
        <w:rPr>
          <w:rFonts w:ascii="Arial" w:hAnsi="Arial" w:eastAsia="微软雅黑"/>
          <w:b w:val="0"/>
          <w:color w:val="374151"/>
          <w:sz w:val="21"/>
        </w:rPr>
        <w:t>，赚钱效应 RI 归零。翻译成盘面语言：</w:t>
      </w:r>
      <w:r>
        <w:rPr>
          <w:rFonts w:ascii="Arial" w:hAnsi="Arial" w:eastAsia="微软雅黑"/>
          <w:b/>
          <w:color w:val="D93A2B"/>
          <w:sz w:val="21"/>
        </w:rPr>
        <w:t>做多错多，接力即被埋。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涨停 46 家、跌停 24 家、炸板 38 家，炸板率 45.2%；昨日涨停股今日平均只有 +0.77%，其中 11 家跌超 5%、1 家跌超 9%。晋级率 20.0%，昨日 124 家涨停里只有 2 家连板成功。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19749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197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亏钱效应明细：谁在被杀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294802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9480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7"/>
        </w:rPr>
        <w:t>另有 1 只高位断板但收盘收红（澳洋健康 +4.62%），属于分歧转一致，未计入亏钱效应。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1356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13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二、主线拆解：新消费领涨，储能跟随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新消费涨2.39%，储能涨1.64%，锂电池涨0.91%，是仅有的红盘方向。新消费里奥飞娱乐2板，浙文影业、大晟文化2板，但板块内部分化，没有形成合力。储能和锂电池更多是超跌反抽，缺乏新催化。黄金白银、传统金融微涨，光伏、电力设备、金融科技、资源金属、大模型全部翻绿。主线不清晰，资金在低位题材里试错，没有持续性。</w:t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行业 / 主题涨幅 Top 10：新消费 +2.39%领涨，储能 +1.64%次之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系统催化库捕获的消息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7755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9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77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人气 × 事件 × 价格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379814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7981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人气最集中的事件是「A股“羊”字辈大面积涨停，值得参与吗？」，共 5 只人气榜个股指向同一条逻辑，说明注意力不是分散在多个题材，而是压在单一催化上。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定性：是启动，还是冰点试错？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13562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1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13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观察池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今日观察池里，N皇冠新材涨397.94%，阳光照明4板，皇台酒业3板，奥飞娱乐、浙文影业、大晟文化2板。龙虎榜资金结构上，机构占比14.19%，量化占比22.92%，游资+散户占比21.05%。量化与游资/散户合计43.97%，情绪交易侧占优，机构占比偏低。资金在冰点里抱团少数连板股和次新，没有扩散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今日观察池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87850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2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8785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观察池用于跟踪当日资金关注度，不构成推荐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8"/>
        </w:rPr>
        <w:t>当日成交额分位与资金结构未满足展开条件，完整共振章节本次未展开。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美股隔夜映射（数据日 2026-11-02 23:46 采集 → 2026-11-03 A股）：光伏 美股+8.46% / A股-0.01%、电力设备 美股+4.04% / A股-0.39%、黄金白银 美股+3.86% / A股+0.40%。海外板块只提供方向参考，A 股是否跟随仍看当日情绪与量能。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9"/>
        </w:rPr>
        <w:t>全球共振与本土情绪未出现明显背离。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三、连板身位：高度被压到 4 板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本文把龙头拆成两条线：「总龙头」看趋势与换手——5 日涨幅居全市场前 100、成交额与换手活跃，不要求连板；「连板龙头」看情绪高度——当日最高板且 5 日或 10 日涨幅位居全市场前 100。两者可以不是同一只；只有高度、缺少持续性的只称「最高板」，今日断板或核按钮的前高位股称「前期龙头」。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今日总龙头：澳洋健康（5 日 +53.1%、10 日 +22.1%、换手 42.6%、成交 22.6 亿、0 板）；连板龙头：阳光照明（4 板）。龙头是走出来的，不是启动日猜出来的；首板不因涨停自动成为龙头。</w:t>
      </w:r>
    </w:p>
    <w:p>
      <w:r>
        <w:drawing>
          <wp:inline xmlns:a="http://schemas.openxmlformats.org/drawingml/2006/main" xmlns:pic="http://schemas.openxmlformats.org/drawingml/2006/picture">
            <wp:extent cx="4680000" cy="2273143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der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73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连板梯队：1 板 34 家、2 板 10 家、4 板 1 家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613413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6134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阳光照明 独自站在 4 板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607886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4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078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连板高度4板，阳光照明是连板龙头，但4板高度在冰点里已经是天花板。3板只有皇台酒业，2板10家，首板34家。晋级率20%，昨日涨停平均溢价0.77%，接力资金亏钱效应明显。青岛食品6板断板，沈阳机床、红太阳断板，高位股集体退潮。连板梯队断层，4板之后没有5板，高度被硬生生打断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前期龙头跟踪：断板与龙回头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龙头战法不做启动日，看的是中后段趋势与断板后的龙回头。按近 10 个交易日最高板统计断板后的回撤与二波结构；二波=断板后重新涨停（括号内为二波最高板数），补跌≤-15%，走弱≤-5%，横盘±5%，修复≥+5%。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904974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5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04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四、资金拆解：华正新材 领衔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龙虎榜上，华正新材跌停但游资净买1.85亿，太阳能、百洋股份、奥飞娱乐获游资或机构净买。机构整体净卖80.22亿，量化净买36.48亿，北向净买29.12亿。游资净卖0.49亿，散户净买6.76亿。资金在冰点里分歧巨大，机构撤退，量化和北向承接，但情绪交易侧占比43.97%，仍是主导。</w:t>
      </w:r>
    </w:p>
    <w:p>
      <w:r>
        <w:drawing>
          <wp:inline xmlns:a="http://schemas.openxmlformats.org/drawingml/2006/main" xmlns:pic="http://schemas.openxmlformats.org/drawingml/2006/picture">
            <wp:extent cx="5940000" cy="2430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pw_seats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华正新材龙虎榜：席位买卖结构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35289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6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528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华正新材龙虎榜席位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龙虎榜资金结构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35289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7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528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机构买入占比 14.2%，量化 22.9%，游资 + 散户 21.1%；把量化归入交易型资金后，交易/情绪资金合计 44.0%。龙虎榜口径下由「量化 + 游资 + 散户（交易型资金）」占优。这与今日的龙虎榜结构互相印证，但龙虎榜只是活跃席位样本，不等于全市场资金结构。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结构跟踪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当前结构状态：结构均衡。机构 24.3%、量化 19.8%、游资 23.7%、散户 12.3%。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35289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8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528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940000" cy="2325612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ucture_trend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25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机构占比 24.3%，较20日均值 +1.7pct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游资占比 23.7%，较20日均值 -3.0pct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量化占比 19.8%，较5日均值 +6.5pct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近5日持续上榜席位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307184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9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071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全市场活跃席位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576848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20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5768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hb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龙虎榜净买入 Top 10：华正新材 +1.85 亿、太阳能 +1.77 亿、百洋股份 +1.59 亿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五、情绪引擎：冰点状态拆解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引擎判定 </w:t>
      </w:r>
      <w:r>
        <w:rPr>
          <w:rFonts w:ascii="Arial" w:hAnsi="Arial" w:eastAsia="微软雅黑"/>
          <w:b/>
          <w:color w:val="5B4BDB"/>
          <w:sz w:val="21"/>
        </w:rPr>
        <w:t>冰点</w:t>
      </w:r>
      <w:r>
        <w:rPr>
          <w:rFonts w:ascii="Arial" w:hAnsi="Arial" w:eastAsia="微软雅黑"/>
          <w:b w:val="0"/>
          <w:color w:val="374151"/>
          <w:sz w:val="21"/>
        </w:rPr>
        <w:t>，置信度 84%。ETI 0.016、ETPI 0.148、LI 0.311；情绪温度、周期动能同时走弱。</w:t>
      </w:r>
    </w:p>
    <w:p>
      <w:r>
        <w:drawing>
          <wp:inline xmlns:a="http://schemas.openxmlformats.org/drawingml/2006/main" xmlns:pic="http://schemas.openxmlformats.org/drawingml/2006/picture">
            <wp:extent cx="5940000" cy="2196411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ti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96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情绪温度近 30 日：当前 0.016，处于冰点区间</w:t>
      </w:r>
    </w:p>
    <w:p>
      <w:r>
        <w:drawing>
          <wp:inline xmlns:a="http://schemas.openxmlformats.org/drawingml/2006/main" xmlns:pic="http://schemas.openxmlformats.org/drawingml/2006/picture">
            <wp:extent cx="5940000" cy="206721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its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67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近 10 日涨跌停：今日涨停 46 家、跌停 24 家，炸板率 45.2%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六、明日交易剧本（非建议，仅状态推演）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0"/>
        </w:rPr>
        <w:t>下面三套剧本不是预测，而是把明天可能出现的盘面状态提前写清楚。触发条件成立，就按对应状态处理；条件不成立，就不要提前站队。</w:t>
      </w:r>
    </w:p>
    <w:p>
      <w:pPr>
        <w:spacing w:before="200" w:after="120"/>
      </w:pPr>
      <w:r>
        <w:rPr>
          <w:rFonts w:ascii="Arial" w:hAnsi="Arial" w:eastAsia="微软雅黑"/>
          <w:b/>
          <w:color w:val="B91C1C"/>
          <w:sz w:val="24"/>
        </w:rPr>
        <w:t>剧本 A｜继续退潮：高位核按钮扩散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阳光照明断板，青岛食品继续核按钮，跌停家数超过30家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高度进一步压缩到3板以下，涨停家数萎缩到30家以下，炸板率维持50%以上，亏钱效应扩散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空仓等待，不参与任何接力，只观察跌停家数是否收敛</w:t>
      </w:r>
    </w:p>
    <w:p>
      <w:pPr>
        <w:spacing w:before="200" w:after="120"/>
      </w:pPr>
      <w:r>
        <w:rPr>
          <w:rFonts w:ascii="Arial" w:hAnsi="Arial" w:eastAsia="微软雅黑"/>
          <w:b/>
          <w:color w:val="15803D"/>
          <w:sz w:val="24"/>
        </w:rPr>
        <w:t>剧本 B｜弱势修复：5 板打开空间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阳光照明晋级5板，涨停家数回升到60家以上，炸板率降到30%以下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连板梯队修复，2板家数增加，核心股红盘，情绪从冰点转向修复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小仓位试错新题材首板或1进2，不追高位</w:t>
      </w:r>
    </w:p>
    <w:p>
      <w:pPr>
        <w:spacing w:before="200" w:after="120"/>
      </w:pPr>
      <w:r>
        <w:rPr>
          <w:rFonts w:ascii="Arial" w:hAnsi="Arial" w:eastAsia="微软雅黑"/>
          <w:b/>
          <w:color w:val="B45309"/>
          <w:sz w:val="24"/>
        </w:rPr>
        <w:t>剧本 C｜混沌震荡：4 板维持，轮动加快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阳光照明维持4板，涨停家数在40-50家之间波动，题材快速轮动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指数与情绪继续背离，创业板弱于主板，资金在低位题材里打一枪换一个地方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保持观望，只做有辨识度的首板，快进快出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明日风向标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576848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21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5768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明日仪表盘：用数字确认状态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604272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22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604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621598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23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215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七、免责声明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9CA3AF"/>
          <w:sz w:val="18"/>
        </w:rPr>
        <w:t>本报告只提供客观状态与历史数据，不构成投资建议，盈亏自负。市场有风险，投资需谨慎。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 xml:space="preserve">只提供客观状态与历史数据，不构成投资建议 · 第 </w:t>
    </w:r>
    <w:r>
      <w:fldChar w:fldCharType="begin"/>
      <w:instrText xml:space="preserve"> PAGE </w:instrText>
      <w:fldChar w:fldCharType="end"/>
    </w:r>
    <w:r>
      <w:rPr>
        <w:color w:val="9CA3A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9CA3AF"/>
        <w:sz w:val="18"/>
      </w:rPr>
      <w:t>产棱 IndPrism · A股短线复盘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高度被打断，冰点里只剩试错 · 2026-11-03 复盘</dc:title>
  <dc:subject>冰点 · 最高 4 板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