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84555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0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4555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执行摘要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11827"/>
          <w:sz w:val="26"/>
        </w:rPr>
        <w:t>冰点里高度未断，亏钱效应已扩散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81356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llout_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135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</w:pP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27976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2797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龙虎榜密度榜（5日 / 10日加权）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247268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4726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昨日观点验证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对比 2026-11-05 的判断与 2026-11-06 的实际结果；昨日状态为「冰点」。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90497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9049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8"/>
        </w:rPr>
        <w:t>昨日剧本基准 4 板，今日 5 板，落在剧本 B（高度打开）。</w:t>
      </w:r>
    </w:p>
    <w:p>
      <w:r>
        <w:br w:type="page"/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一、盘面定性：冰点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成交额只有 </w:t>
      </w:r>
      <w:r>
        <w:rPr>
          <w:rFonts w:ascii="Arial" w:hAnsi="Arial" w:eastAsia="微软雅黑"/>
          <w:b/>
          <w:color w:val="111827"/>
          <w:sz w:val="21"/>
        </w:rPr>
        <w:t>1.67 万亿</w:t>
      </w:r>
      <w:r>
        <w:rPr>
          <w:rFonts w:ascii="Arial" w:hAnsi="Arial" w:eastAsia="微软雅黑"/>
          <w:b w:val="0"/>
          <w:color w:val="374151"/>
          <w:sz w:val="21"/>
        </w:rPr>
        <w:t>。</w:t>
      </w:r>
      <w:r>
        <w:rPr>
          <w:rFonts w:ascii="Arial" w:hAnsi="Arial" w:eastAsia="微软雅黑"/>
          <w:b w:val="0"/>
          <w:color w:val="374151"/>
          <w:sz w:val="21"/>
        </w:rPr>
        <w:t xml:space="preserve">指数普跌（上证 -1.10%、创业板 -3.96%），但全市场 </w:t>
      </w:r>
      <w:r>
        <w:rPr>
          <w:rFonts w:ascii="Arial" w:hAnsi="Arial" w:eastAsia="微软雅黑"/>
          <w:b/>
          <w:color w:val="D93A2B"/>
          <w:sz w:val="21"/>
        </w:rPr>
        <w:t>4740 家下跌</w:t>
      </w:r>
      <w:r>
        <w:rPr>
          <w:rFonts w:ascii="Arial" w:hAnsi="Arial" w:eastAsia="微软雅黑"/>
          <w:b w:val="0"/>
          <w:color w:val="374151"/>
          <w:sz w:val="21"/>
        </w:rPr>
        <w:t xml:space="preserve">、仅 </w:t>
      </w:r>
      <w:r>
        <w:rPr>
          <w:rFonts w:ascii="Arial" w:hAnsi="Arial" w:eastAsia="微软雅黑"/>
          <w:b/>
          <w:color w:val="D93A2B"/>
          <w:sz w:val="21"/>
        </w:rPr>
        <w:t>757 家上涨</w:t>
      </w:r>
      <w:r>
        <w:rPr>
          <w:rFonts w:ascii="Arial" w:hAnsi="Arial" w:eastAsia="微软雅黑"/>
          <w:b w:val="0"/>
          <w:color w:val="374151"/>
          <w:sz w:val="21"/>
        </w:rPr>
        <w:t xml:space="preserve">，上涨占比 </w:t>
      </w:r>
      <w:r>
        <w:rPr>
          <w:rFonts w:ascii="Arial" w:hAnsi="Arial" w:eastAsia="微软雅黑"/>
          <w:b/>
          <w:color w:val="D93A2B"/>
          <w:sz w:val="21"/>
        </w:rPr>
        <w:t>13.8%</w:t>
      </w:r>
      <w:r>
        <w:rPr>
          <w:rFonts w:ascii="Arial" w:hAnsi="Arial" w:eastAsia="微软雅黑"/>
          <w:b w:val="0"/>
          <w:color w:val="374151"/>
          <w:sz w:val="21"/>
        </w:rPr>
        <w:t>。这是典型的“指数撑住、个股失血”。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情绪温度 ETI </w:t>
      </w:r>
      <w:r>
        <w:rPr>
          <w:rFonts w:ascii="Arial" w:hAnsi="Arial" w:eastAsia="微软雅黑"/>
          <w:b w:val="0"/>
          <w:color w:val="374151"/>
          <w:sz w:val="21"/>
        </w:rPr>
        <w:t xml:space="preserve">降到 </w:t>
      </w:r>
      <w:r>
        <w:rPr>
          <w:rFonts w:ascii="Arial" w:hAnsi="Arial" w:eastAsia="微软雅黑"/>
          <w:b/>
          <w:color w:val="5B4BDB"/>
          <w:sz w:val="21"/>
        </w:rPr>
        <w:t>0.040</w:t>
      </w:r>
      <w:r>
        <w:rPr>
          <w:rFonts w:ascii="Arial" w:hAnsi="Arial" w:eastAsia="微软雅黑"/>
          <w:b w:val="0"/>
          <w:color w:val="374151"/>
          <w:sz w:val="21"/>
        </w:rPr>
        <w:t xml:space="preserve">，环比 </w:t>
      </w:r>
      <w:r>
        <w:rPr>
          <w:rFonts w:ascii="Arial" w:hAnsi="Arial" w:eastAsia="微软雅黑"/>
          <w:b/>
          <w:color w:val="5B4BDB"/>
          <w:sz w:val="21"/>
        </w:rPr>
        <w:t>-0.052</w:t>
      </w:r>
      <w:r>
        <w:rPr>
          <w:rFonts w:ascii="Arial" w:hAnsi="Arial" w:eastAsia="微软雅黑"/>
          <w:b w:val="0"/>
          <w:color w:val="374151"/>
          <w:sz w:val="21"/>
        </w:rPr>
        <w:t xml:space="preserve">；亏钱效应 LI 仍有 </w:t>
      </w:r>
      <w:r>
        <w:rPr>
          <w:rFonts w:ascii="Arial" w:hAnsi="Arial" w:eastAsia="微软雅黑"/>
          <w:b/>
          <w:color w:val="D93A2B"/>
          <w:sz w:val="21"/>
        </w:rPr>
        <w:t>0.211</w:t>
      </w:r>
      <w:r>
        <w:rPr>
          <w:rFonts w:ascii="Arial" w:hAnsi="Arial" w:eastAsia="微软雅黑"/>
          <w:b w:val="0"/>
          <w:color w:val="374151"/>
          <w:sz w:val="21"/>
        </w:rPr>
        <w:t>，赚钱效应 RI 归零。翻译成盘面语言：</w:t>
      </w:r>
      <w:r>
        <w:rPr>
          <w:rFonts w:ascii="Arial" w:hAnsi="Arial" w:eastAsia="微软雅黑"/>
          <w:b/>
          <w:color w:val="D93A2B"/>
          <w:sz w:val="21"/>
        </w:rPr>
        <w:t>做多错多，接力即被埋。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涨停 32 家、跌停 15 家、炸板 16 家，炸板率 33.3%；昨日涨停股今日平均只有 -0.00%，其中 10 家跌超 5%、2 家跌超 9%。晋级率 33.3%，昨日 83 家涨停里只有 2 家连板成功。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00552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llout_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0055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</w:pP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亏钱效应明细：谁在被杀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3665601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0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6656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7"/>
        </w:rPr>
        <w:t>另有 1 只高位断板但收盘收红（盛达资源 +1.84%），属于分歧转一致，未计入亏钱效应。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813562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llout_08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135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二、主线拆解：光伏领涨，传统金融跟随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光伏、电力设备、储能等赛道方向跌幅居前，芯片制造、商业航天同步走弱。资金向连板高标和“东方”字辈、羊字辈等纯情绪票集中，浙文影业、闽发铝业、永臻股份、鲁阳节能构成4-5板梯队。题材轮动快，无清晰产业主线，更多是冰点下的辨识度抱团。</w:t>
      </w:r>
    </w:p>
    <w:p>
      <w:r>
        <w:drawing>
          <wp:inline xmlns:a="http://schemas.openxmlformats.org/drawingml/2006/main" xmlns:pic="http://schemas.openxmlformats.org/drawingml/2006/picture">
            <wp:extent cx="5940000" cy="2700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ctor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行业 / 主题涨幅 Top 10：光伏 +0.06%领涨，传统金融 -0.18%次之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系统催化库捕获的消息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2020194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09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0201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人气 × 事件 × 价格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3939836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0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9398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人气最集中的事件是「科技龙头：维护公司价值和投资者利益」，共 3 只人气榜个股指向同一条逻辑，说明注意力不是分散在多个题材，而是压在单一催化上。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定性：是启动，还是冰点试错？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005527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llout_11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0055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</w:pP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观察池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今日观察池中，浙文影业、闽发铝业、永臻股份、鲁阳节能、贝特利、春光科技等连板股占据核心。龙虎榜资金结构显示，游资净买入5.02亿，散户净买入2.01亿，机构净买入仅0.19亿，北向净卖出7.05亿，量化净卖出4.75亿。情绪交易侧（游资+散户+量化）占比51.81%，机构占比25.08%，资金明显偏向情绪博弈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今日观察池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202933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2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0293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观察池用于跟踪当日资金关注度，不构成推荐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8"/>
        </w:rPr>
        <w:t>当日成交额分位与资金结构未满足展开条件，完整共振章节本次未展开。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8"/>
        </w:rPr>
        <w:t>美股隔夜映射（数据日 2026-11-05 23:59 采集 → 2026-11-06 A股）：生物制药 美股-0.13% / A股-3.89%、黄金白银 美股-2.49% / A股-1.86%、芯片材料 美股-3.01% / A股-3.34%。海外板块只提供方向参考，A 股是否跟随仍看当日情绪与量能。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9"/>
        </w:rPr>
        <w:t>全球共振与本土情绪未出现明显背离。全球科技核心指数下跌7.35%，A股科技核心下跌4.72%，方向一致，但A股跌幅相对较小。本土情绪处于冰点，连板高度5板，与全球科技股下跌形成共振，无背离信号。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三、连板身位：高度被压到 5 板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本文把龙头拆成两条线：「总龙头」看趋势与换手——5 日涨幅居全市场前 100、成交额与换手活跃，不要求连板；「连板龙头」看情绪高度——当日最高板且 5 日或 10 日涨幅位居全市场前 100。两者可以不是同一只；只有高度、缺少持续性的只称「最高板」，今日断板或核按钮的前高位股称「前期龙头」。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今日总龙头：浙文影业（5 日 +61.3%、10 日 +57.8%、换手 22.0%、成交 12.9 亿、5 板）；连板龙头：闽发铝业、浙文影业（5 板）。龙头是走出来的，不是启动日猜出来的；首板不因涨停自动成为龙头。</w:t>
      </w:r>
    </w:p>
    <w:p>
      <w:r>
        <w:drawing>
          <wp:inline xmlns:a="http://schemas.openxmlformats.org/drawingml/2006/main" xmlns:pic="http://schemas.openxmlformats.org/drawingml/2006/picture">
            <wp:extent cx="4680000" cy="2273143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dder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273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连板梯队：1 板 21 家、2 板 4 家、5 板 2 家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531143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3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53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5 板接力：一个换手板，一个一字板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982674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4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9826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连板高度5板，浙文影业、闽发铝业双5板；4板有永臻股份、鲁阳节能；3板有新亚制程、贝特利、春光科技；2板仅4家。晋级率33.33%，昨日2板股批量断板，深中华A、征和工业核按钮，引力传媒、中利集团日内大面。连板梯队断层明显，高位股分歧加大，接力容错率低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前期龙头跟踪：断板与龙回头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龙头战法不做启动日，看的是中后段趋势与断板后的龙回头。按近 10 个交易日最高板统计断板后的回撤与二波结构；二波=断板后重新涨停（括号内为二波最高板数），补跌≤-15%，走弱≤-5%，横盘±5%，修复≥+5%。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904974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5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9049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四、资金拆解：百洋股份 领衔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龙虎榜净买入前列以游资为主，百洋股份、东方日升、上海电影、大东方等获游资净买入超1亿。机构仅英力特净买入0.51亿，整体机构净买入0.19亿，北向净卖出7.05亿，量化净卖出4.75亿。资金结构上，游资+散户情绪交易占比51.81%，机构占比25.08%，量化占比18.29%，情绪资金主导。</w:t>
      </w:r>
    </w:p>
    <w:p>
      <w:r>
        <w:drawing>
          <wp:inline xmlns:a="http://schemas.openxmlformats.org/drawingml/2006/main" xmlns:pic="http://schemas.openxmlformats.org/drawingml/2006/picture">
            <wp:extent cx="5940000" cy="2430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pw_seats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43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百洋股份龙虎榜：席位买卖结构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35289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6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3528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百洋股份龙虎榜席位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近5日持续上榜席位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307184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7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3071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全市场活跃席位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576848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8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5768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940000" cy="2700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hb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龙虎榜净买入 Top 10：百洋股份 +1.87 亿、东方日升 +1.60 亿、上海电影 +1.19 亿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五、情绪引擎：冰点状态拆解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引擎判定 </w:t>
      </w:r>
      <w:r>
        <w:rPr>
          <w:rFonts w:ascii="Arial" w:hAnsi="Arial" w:eastAsia="微软雅黑"/>
          <w:b/>
          <w:color w:val="5B4BDB"/>
          <w:sz w:val="21"/>
        </w:rPr>
        <w:t>冰点</w:t>
      </w:r>
      <w:r>
        <w:rPr>
          <w:rFonts w:ascii="Arial" w:hAnsi="Arial" w:eastAsia="微软雅黑"/>
          <w:b w:val="0"/>
          <w:color w:val="374151"/>
          <w:sz w:val="21"/>
        </w:rPr>
        <w:t>，置信度 60%。ETI 0.040、ETPI 0.207、LI 0.211；情绪温度、周期动能同时走弱。</w:t>
      </w:r>
    </w:p>
    <w:p>
      <w:r>
        <w:drawing>
          <wp:inline xmlns:a="http://schemas.openxmlformats.org/drawingml/2006/main" xmlns:pic="http://schemas.openxmlformats.org/drawingml/2006/picture">
            <wp:extent cx="5940000" cy="2196411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ti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196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情绪温度近 30 日：当前 0.040，处于冰点区间</w:t>
      </w:r>
    </w:p>
    <w:p>
      <w:r>
        <w:drawing>
          <wp:inline xmlns:a="http://schemas.openxmlformats.org/drawingml/2006/main" xmlns:pic="http://schemas.openxmlformats.org/drawingml/2006/picture">
            <wp:extent cx="5940000" cy="206721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mits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0672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近 10 日涨跌停：今日涨停 32 家、跌停 15 家，炸板率 33.3%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六、明日交易剧本（非建议，仅状态推演）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0"/>
        </w:rPr>
        <w:t>下面三套剧本不是预测，而是把明天可能出现的盘面状态提前写清楚。触发条件成立，就按对应状态处理；条件不成立，就不要提前站队。</w:t>
      </w:r>
    </w:p>
    <w:p>
      <w:pPr>
        <w:spacing w:before="200" w:after="120"/>
      </w:pPr>
      <w:r>
        <w:rPr>
          <w:rFonts w:ascii="Arial" w:hAnsi="Arial" w:eastAsia="微软雅黑"/>
          <w:b/>
          <w:color w:val="B91C1C"/>
          <w:sz w:val="24"/>
        </w:rPr>
        <w:t>剧本 A｜继续退潮：高位核按钮扩散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浙文影业或闽发铝业断板，跌停家数增加，涨停家数降至25家以下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高位核按钮扩散，连板梯队崩塌，亏钱效应进一步放大，情绪进入退潮期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观察总龙头浙文影业是否断板，若断板且无新题材接力，则确认退潮，等待冰点后的修复信号</w:t>
      </w:r>
    </w:p>
    <w:p>
      <w:pPr>
        <w:spacing w:before="200" w:after="120"/>
      </w:pPr>
      <w:r>
        <w:rPr>
          <w:rFonts w:ascii="Arial" w:hAnsi="Arial" w:eastAsia="微软雅黑"/>
          <w:b/>
          <w:color w:val="15803D"/>
          <w:sz w:val="24"/>
        </w:rPr>
        <w:t>剧本 B｜弱势修复：6 板打开空间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最高板向上打开一档至6板，涨停家数回升至40家以上，炸板率下降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核心高标继续晋级，低位补涨启动，情绪修复，亏钱效应收敛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观察浙文影业、闽发铝业能否晋级6板，若晋级且涨停家数明显回升，则确认弱势修复，可关注新题材首板</w:t>
      </w:r>
    </w:p>
    <w:p>
      <w:pPr>
        <w:spacing w:before="200" w:after="120"/>
      </w:pPr>
      <w:r>
        <w:rPr>
          <w:rFonts w:ascii="Arial" w:hAnsi="Arial" w:eastAsia="微软雅黑"/>
          <w:b/>
          <w:color w:val="B45309"/>
          <w:sz w:val="24"/>
        </w:rPr>
        <w:t>剧本 C｜混沌震荡：5 板维持，轮动加快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最高板维持5板，涨停家数在30家附近窄幅波动，题材快速轮动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指数与情绪背离，高标抱团与低位试错并存，市场陷入混沌震荡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观察连板梯队是否断层，若高度原地维持且无新主线，则保持观望，等待方向选择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明日风向标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576848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19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5768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明日仪表盘：用数字确认状态</w:t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1604272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_20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6042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80"/>
      </w:pPr>
      <w:r>
        <w:drawing>
          <wp:inline xmlns:a="http://schemas.openxmlformats.org/drawingml/2006/main" xmlns:pic="http://schemas.openxmlformats.org/drawingml/2006/picture">
            <wp:extent cx="6120000" cy="813562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llout_21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135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七、免责声明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9CA3AF"/>
          <w:sz w:val="18"/>
        </w:rPr>
        <w:t>本报告只提供客观状态与历史数据，不构成投资建议，盈亏自负。市场有风险，投资需谨慎。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6"/>
      </w:rPr>
      <w:t xml:space="preserve">只提供客观状态与历史数据，不构成投资建议 · 第 </w:t>
    </w:r>
    <w:r>
      <w:fldChar w:fldCharType="begin"/>
      <w:instrText xml:space="preserve"> PAGE </w:instrText>
      <w:fldChar w:fldCharType="end"/>
    </w:r>
    <w:r>
      <w:rPr>
        <w:color w:val="9CA3AF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9CA3AF"/>
        <w:sz w:val="18"/>
      </w:rPr>
      <w:t>产棱 IndPrism · A股短线复盘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Relationship Id="rId37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冰点里高度未断，亏钱效应已扩散 · 2026-11-06 复盘</dc:title>
  <dc:subject>冰点 · 最高 5 板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